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line="620" w:lineRule="exact"/>
        <w:textAlignment w:val="auto"/>
        <w:outlineLvl w:val="9"/>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附件</w:t>
      </w:r>
      <w:r>
        <w:rPr>
          <w:rFonts w:hint="eastAsia" w:ascii="Times New Roman" w:hAnsi="Times New Roman" w:eastAsia="仿宋_GB2312" w:cs="Times New Roman"/>
          <w:sz w:val="32"/>
          <w:szCs w:val="32"/>
          <w:lang w:val="en-US" w:eastAsia="zh-CN"/>
        </w:rPr>
        <w:t>-2</w:t>
      </w:r>
      <w:bookmarkStart w:id="0" w:name="_GoBack"/>
      <w:bookmarkEnd w:id="0"/>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p>
    <w:p>
      <w:pPr>
        <w:widowControl w:val="0"/>
        <w:wordWrap/>
        <w:adjustRightInd/>
        <w:snapToGrid/>
        <w:spacing w:line="620" w:lineRule="exact"/>
        <w:jc w:val="center"/>
        <w:textAlignment w:val="auto"/>
        <w:outlineLvl w:val="9"/>
        <w:rPr>
          <w:rFonts w:hint="default" w:ascii="Times New Roman" w:hAnsi="Times New Roman" w:eastAsia="宋体" w:cs="Times New Roman"/>
          <w:b/>
          <w:bCs/>
          <w:sz w:val="44"/>
          <w:szCs w:val="44"/>
        </w:rPr>
      </w:pPr>
      <w:r>
        <w:rPr>
          <w:rFonts w:hint="default" w:ascii="Times New Roman" w:hAnsi="Times New Roman" w:eastAsia="宋体" w:cs="Times New Roman"/>
          <w:b/>
          <w:bCs/>
          <w:sz w:val="44"/>
          <w:szCs w:val="44"/>
        </w:rPr>
        <w:t>关于2019年三亚市预算执行情况及</w:t>
      </w:r>
    </w:p>
    <w:p>
      <w:pPr>
        <w:widowControl w:val="0"/>
        <w:wordWrap/>
        <w:adjustRightInd/>
        <w:snapToGrid/>
        <w:spacing w:line="620" w:lineRule="exact"/>
        <w:jc w:val="center"/>
        <w:textAlignment w:val="auto"/>
        <w:outlineLvl w:val="9"/>
        <w:rPr>
          <w:rFonts w:hint="default" w:ascii="Times New Roman" w:hAnsi="Times New Roman" w:eastAsia="宋体" w:cs="Times New Roman"/>
          <w:b/>
          <w:bCs/>
          <w:sz w:val="44"/>
          <w:szCs w:val="44"/>
        </w:rPr>
      </w:pPr>
      <w:r>
        <w:rPr>
          <w:rFonts w:hint="default" w:ascii="Times New Roman" w:hAnsi="Times New Roman" w:eastAsia="宋体" w:cs="Times New Roman"/>
          <w:b/>
          <w:bCs/>
          <w:sz w:val="44"/>
          <w:szCs w:val="44"/>
        </w:rPr>
        <w:t>2020年三亚市预算草案的报告</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p>
    <w:p>
      <w:pPr>
        <w:widowControl w:val="0"/>
        <w:wordWrap/>
        <w:adjustRightInd/>
        <w:snapToGrid/>
        <w:spacing w:line="620" w:lineRule="exact"/>
        <w:jc w:val="center"/>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2020年1月6日在三亚市第七届人民代表大会第七次会议上</w:t>
      </w:r>
    </w:p>
    <w:p>
      <w:pPr>
        <w:widowControl w:val="0"/>
        <w:wordWrap/>
        <w:adjustRightInd/>
        <w:snapToGrid/>
        <w:spacing w:line="620" w:lineRule="exact"/>
        <w:jc w:val="center"/>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三亚市财政局</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p>
    <w:p>
      <w:pPr>
        <w:widowControl w:val="0"/>
        <w:wordWrap/>
        <w:adjustRightInd/>
        <w:snapToGrid/>
        <w:spacing w:line="620" w:lineRule="exact"/>
        <w:textAlignment w:val="auto"/>
        <w:outlineLvl w:val="9"/>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各位代表：</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受市政府委托，向大会报告三亚市2019年预算执行情况及2020年预算草案，请予审议，并请市政协委员和其他列席人员提出意见。</w:t>
      </w:r>
    </w:p>
    <w:p>
      <w:pPr>
        <w:widowControl w:val="0"/>
        <w:wordWrap/>
        <w:adjustRightInd/>
        <w:snapToGrid/>
        <w:spacing w:line="620" w:lineRule="exact"/>
        <w:textAlignment w:val="auto"/>
        <w:outlineLvl w:val="9"/>
        <w:rPr>
          <w:rFonts w:hint="default" w:ascii="Times New Roman" w:hAnsi="Times New Roman" w:eastAsia="黑体" w:cs="Times New Roman"/>
          <w:b/>
          <w:bCs/>
          <w:sz w:val="32"/>
          <w:szCs w:val="32"/>
        </w:rPr>
      </w:pPr>
      <w:r>
        <w:rPr>
          <w:rFonts w:hint="default" w:ascii="Times New Roman" w:hAnsi="Times New Roman" w:eastAsia="黑体" w:cs="Times New Roman"/>
          <w:b/>
          <w:bCs/>
          <w:sz w:val="32"/>
          <w:szCs w:val="32"/>
          <w:lang w:val="en-US" w:eastAsia="zh-CN"/>
        </w:rPr>
        <w:t xml:space="preserve">  </w:t>
      </w:r>
      <w:r>
        <w:rPr>
          <w:rFonts w:hint="default" w:ascii="Times New Roman" w:hAnsi="Times New Roman" w:eastAsia="黑体" w:cs="Times New Roman"/>
          <w:b w:val="0"/>
          <w:bCs w:val="0"/>
          <w:sz w:val="32"/>
          <w:szCs w:val="32"/>
          <w:lang w:val="en-US" w:eastAsia="zh-CN"/>
        </w:rPr>
        <w:t xml:space="preserve">  </w:t>
      </w:r>
      <w:r>
        <w:rPr>
          <w:rFonts w:hint="default" w:ascii="Times New Roman" w:hAnsi="Times New Roman" w:eastAsia="黑体" w:cs="Times New Roman"/>
          <w:b w:val="0"/>
          <w:bCs w:val="0"/>
          <w:sz w:val="32"/>
          <w:szCs w:val="32"/>
        </w:rPr>
        <w:t>一、2019年预算执行情况</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2019年是新中国成立70周年，是海南推进全面深化改革开放“政策落实年”。在市委、市政府的正确领导下，全市财政部门坚持以习近平新时代中国特色社会主义思想为指导，全面贯彻党的十九大和十九届二中、三中、四中全会精神，深入学习贯彻习近平总书记“4·13”重要讲话、对海南工作重要指示批示和中央12号文件精神，全力保障全市中心工作，充分发挥财政“四两拨千斤”作用，不忘初心、牢记使命，努力克服经济下行压力加大、自身产业结构调整带来的困难，坚决落实“两个确保”百日大行动的部署，落实好减税降费政策，开展财税收入百日大会战，强化财政预算执行管理，深化财政改革，较好地完成了全年预算收支任务，为我市在海南自贸区自贸港建设中打造标杆提供财力保障。</w:t>
      </w:r>
    </w:p>
    <w:p>
      <w:pPr>
        <w:widowControl w:val="0"/>
        <w:wordWrap/>
        <w:adjustRightInd/>
        <w:snapToGrid/>
        <w:spacing w:line="620" w:lineRule="exact"/>
        <w:textAlignment w:val="auto"/>
        <w:outlineLvl w:val="9"/>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lang w:val="en-US" w:eastAsia="zh-CN"/>
        </w:rPr>
        <w:t xml:space="preserve">    </w:t>
      </w:r>
      <w:r>
        <w:rPr>
          <w:rFonts w:hint="default" w:ascii="Times New Roman" w:hAnsi="Times New Roman" w:eastAsia="楷体_GB2312" w:cs="Times New Roman"/>
          <w:b/>
          <w:bCs/>
          <w:sz w:val="32"/>
          <w:szCs w:val="32"/>
        </w:rPr>
        <w:t>（一）预算执行情况</w:t>
      </w:r>
    </w:p>
    <w:p>
      <w:pPr>
        <w:widowControl w:val="0"/>
        <w:wordWrap/>
        <w:adjustRightInd/>
        <w:snapToGrid/>
        <w:spacing w:line="620" w:lineRule="exact"/>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rPr>
        <w:t>1. 一般公共预算执行情况</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全市地方一般公共预算收入1090980万元，完成预算100.1%，增收86732万元，增长8.6%，加上转移性收入779012万元、省代理地方政府发行新增债券收入219800万元、再融资债券收入32000万元、预算稳定调节基金318343万元、调入资金81492万元，全市地方一般公共预算总收入2521627万元，增收312404万元，增长14.1%。全市地方一般公共预算支出2153861万元，完成预算95.0%，增支365737万元，增长20.5%，加上转移性支出48000万元、中央和省代理地方政府发行债券还本支出32928万元、预算稳定调节基金286838万元，全市地方一般公共预算总支出2521627万元，增支312404万元，增长14.1%。收支相抵，年终无结余。</w:t>
      </w:r>
    </w:p>
    <w:p>
      <w:pPr>
        <w:widowControl w:val="0"/>
        <w:wordWrap/>
        <w:adjustRightInd/>
        <w:snapToGrid/>
        <w:spacing w:line="620" w:lineRule="exact"/>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rPr>
        <w:t>2. 政府性基金预算执行情况</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全市地方政府性基金预算收入1020875万元，完成预算100.7%，增收502616万元，增长97.0%，加上省代理地方政府发行新增债券收入430000万元、再融资债券收入78000万元、转移性收入6273万元和上年结余结转收入7159万元，全市地方政府性基金预算总收入1542307万元，增收720873万元，增长87.8%。全市地方政府性基金预算支出1326575万元，完成预算98.6%，增支515549万元，增长63.6%，加上中央和省代理地方政府发行债券还本支出101455万元、调出资金80646万元，全市地方政府性基金预算总支出1508676万元，增支694401万元，增长85.3%。收支相抵，年终结余33631万元。</w:t>
      </w:r>
    </w:p>
    <w:p>
      <w:pPr>
        <w:widowControl w:val="0"/>
        <w:wordWrap/>
        <w:adjustRightInd/>
        <w:snapToGrid/>
        <w:spacing w:line="620" w:lineRule="exact"/>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rPr>
        <w:t>3. 国有资本经营预算执行情况</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全市国有资本经营预算收入2524万元，完成预算100.0%，增收230万元，增长10.0%。全市国有资本经营预算支出1678万元，完成预算100.0%，调入一般公共预算安排支出846万元，全市国有资本经营预算总支出2524万元，增支230万元，增长10.0%。收支相抵，年终无结余。</w:t>
      </w:r>
    </w:p>
    <w:p>
      <w:pPr>
        <w:widowControl w:val="0"/>
        <w:wordWrap/>
        <w:adjustRightInd/>
        <w:snapToGrid/>
        <w:spacing w:line="620" w:lineRule="exact"/>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rPr>
        <w:t>4. 社会保险基金预算执行情况</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全市社会保险基金预算收入590063万元，完成预算106.1%，增收99787万元，增长20.4%。全市社会保险基金预算支出409551万元，完成预算106.0%，增支43833万元，增长12.0%。收支相抵，本年结余180512万元，加上上年结余1073614万元，年末滚存结余1254126万元。</w:t>
      </w:r>
    </w:p>
    <w:p>
      <w:pPr>
        <w:widowControl w:val="0"/>
        <w:wordWrap/>
        <w:adjustRightInd/>
        <w:snapToGrid/>
        <w:spacing w:line="620" w:lineRule="exact"/>
        <w:textAlignment w:val="auto"/>
        <w:outlineLvl w:val="9"/>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lang w:val="en-US" w:eastAsia="zh-CN"/>
        </w:rPr>
        <w:t xml:space="preserve">    </w:t>
      </w:r>
      <w:r>
        <w:rPr>
          <w:rFonts w:hint="default" w:ascii="Times New Roman" w:hAnsi="Times New Roman" w:eastAsia="楷体_GB2312" w:cs="Times New Roman"/>
          <w:b/>
          <w:bCs/>
          <w:sz w:val="32"/>
          <w:szCs w:val="32"/>
        </w:rPr>
        <w:t>（二）预算执行主要成效</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2019年，财政部门坚定信心、迎难而上，落实好减税降费政策的同时，积极开展财税收入百日大会战，加强收入征管，大力培植财源，超额完成全年财政收入预期目标。同时，积极争取上级财力支持，加大盘活财政资金，强化支出预算执行管理，全力支持推动自贸区自贸港建设、推动产业结构转型升级、优化发展环境和基础条件、在发展中保障和改善民生，全市重点支出得到较好保障。财政收支运行呈现如下特点：</w:t>
      </w:r>
    </w:p>
    <w:p>
      <w:pPr>
        <w:widowControl w:val="0"/>
        <w:wordWrap/>
        <w:adjustRightInd/>
        <w:snapToGrid/>
        <w:spacing w:line="620" w:lineRule="exact"/>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rPr>
        <w:t>1. 强化预算执行管理，全面提升财政保障能力</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b/>
          <w:bCs/>
          <w:sz w:val="32"/>
          <w:szCs w:val="32"/>
        </w:rPr>
        <w:t>一是凝心聚力，共克时坚，全力打好财税收入百日大会战，超额完成年度收入预期目标。</w:t>
      </w:r>
      <w:r>
        <w:rPr>
          <w:rFonts w:hint="default" w:ascii="Times New Roman" w:hAnsi="Times New Roman" w:eastAsia="仿宋_GB2312" w:cs="Times New Roman"/>
          <w:sz w:val="32"/>
          <w:szCs w:val="32"/>
        </w:rPr>
        <w:t>严格落实减税降费政策，有效减轻企业负担，激发市场主体活力。8月份以来，积极开展“两个确保”百日大行动，加快清缴一批拖欠税款，加快实施一批重点项目，加快出让一批项目用地，加快落地一批总部企业，加快推进一批房源消化，加快开展一批重要活动，加快引入一批建安企业，进一步提高站位统一思想、进一步细化任务压实责任、进一步加强协调形成合力、进一步加强调度精准施策，在房地产调控和减税降费造成全年市级税收减收129853万元的情况下，9-12月份全市地方一般公共预算收入分别同比增长27.2%、35.0%、96.5%、171.9%，从根本上扭转前8个月财政收入累计下降7.9%且持续下滑态势，最终实现全年增长8.6%，效果显著、成绩斐然，超额完成年度收入预期目标，其中市级税收收入完成764170万元，增长0.3%，非税收入完成326810万元，增长34.7%，对中央及省级财政贡献显著，全年贡献中央及省税收收入1292678万元，其中贡献中央660173万元，贡献省级632505万元。</w:t>
      </w:r>
    </w:p>
    <w:p>
      <w:pPr>
        <w:widowControl w:val="0"/>
        <w:wordWrap/>
        <w:adjustRightInd/>
        <w:snapToGrid/>
        <w:spacing w:line="62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二是争取到上级财力和债券资金1545085万元，比上年增加220684万元，全力保障自贸区自贸港等重点项目建设。</w:t>
      </w:r>
      <w:r>
        <w:rPr>
          <w:rFonts w:hint="default" w:ascii="Times New Roman" w:hAnsi="Times New Roman" w:eastAsia="仿宋_GB2312" w:cs="Times New Roman"/>
          <w:sz w:val="32"/>
          <w:szCs w:val="32"/>
        </w:rPr>
        <w:t>为全力保障市委、市政府中心工作的资金需求，助力我市重点园区、重点项目和民生项目建设，促进全市经济社会稳定健康发展，积极争取到各类上级转移支付资金785285万元，其中争取到中央基建投资预算124020万元用于支持崖州湾科技城建设，争取到崖州湾科技城发展建设资金70000万元，崖州湾科技城建设迈上新台阶；争取到新增债券649800万元，其中一般债券219800万元，专项债券430000万元，用于保障利用海南西环高铁和货线三亚至乐东（岭头）段开行公交化旅游化列车改造工程、中央商务区、南繁科技城、深海科技城、三横路、人大附中三亚学校、上海外国语大学三亚附属中学等重点项目。另外，争取到再融资债券资金110000万元，缓解我市偿债压力。</w:t>
      </w:r>
    </w:p>
    <w:p>
      <w:pPr>
        <w:widowControl w:val="0"/>
        <w:wordWrap/>
        <w:adjustRightInd/>
        <w:snapToGrid/>
        <w:spacing w:line="62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b/>
          <w:bCs/>
          <w:sz w:val="32"/>
          <w:szCs w:val="32"/>
        </w:rPr>
        <w:t>三是盘活存量资金361123万元保障全市重点工作，进一步增强财政保障能力。</w:t>
      </w:r>
      <w:r>
        <w:rPr>
          <w:rFonts w:hint="default" w:ascii="Times New Roman" w:hAnsi="Times New Roman" w:eastAsia="仿宋_GB2312" w:cs="Times New Roman"/>
          <w:sz w:val="32"/>
          <w:szCs w:val="32"/>
        </w:rPr>
        <w:t>为切实盘活和统筹使用我市沉淀的存量资金，不断提高财政资金使用效益，发挥财政资金“稳增长、促改革、调结构、惠民生”的重要作用，加大盘活各类资金361123万元，集中保障我市急需支出的重点项目和民生项目，支持亚沙会项目建设，支持亚沙委各项工作开展，支持国资国企改革，做大做强“2+6”国企，支持抱坡棚户区改造等各项民生事业发展。</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b/>
          <w:bCs/>
          <w:sz w:val="32"/>
          <w:szCs w:val="32"/>
        </w:rPr>
        <w:t>四是优化支出结构，充分发挥财政“四两拨千斤”作用。</w:t>
      </w:r>
      <w:r>
        <w:rPr>
          <w:rFonts w:hint="default" w:ascii="Times New Roman" w:hAnsi="Times New Roman" w:eastAsia="仿宋_GB2312" w:cs="Times New Roman"/>
          <w:sz w:val="32"/>
          <w:szCs w:val="32"/>
        </w:rPr>
        <w:t>不断强化预算支出管理，支出质量进一步提升，保障崖州湾科技城开发建设、中央商务区建设、亚沙会筹办等重点项目开展、生态环保和脱贫攻坚等重点支出；加快支出进度，充分发挥财政资金效益，进一步加强保障和改善民生，力促民生事业不断发展，全年民生支出1727023万元，增长23.7%，占全市地方一般公共预算支出80.2%，其中投入464106万元办好市委、市政府十大为民办实事事项，不断提高人民群众幸福指数。</w:t>
      </w:r>
    </w:p>
    <w:p>
      <w:pPr>
        <w:widowControl w:val="0"/>
        <w:wordWrap/>
        <w:adjustRightInd/>
        <w:snapToGrid/>
        <w:spacing w:line="620" w:lineRule="exact"/>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rPr>
        <w:t>2.做好全面深化改革开放，促进经济持续健康发展</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全年投入1158900万元，着力深化改革扩大开放，重点领域改革深入推进，自贸试验区建设全面提速，加快建设现代经济体系，打造法治化、国际化、便利化的营商环境，四方之才加快集聚，推动三亚经济高质量发展。投入215000万元，保障深海科技城、南繁科技城、中央商务区等土地收储，保障深海科技城公司、南繁科技城公司注册资本金，支持加快完善滨海旅游城市综合服务功能，促进城乡社区治理体系和治理能力现代化；投入108000万元，大力调优产业结构，促进产业转型升级，重点发展旅游业、现代服务业、高新技术产业三大主导产业，成功举办三亚市第一届自贸港金融博览会，设立海南自贸区开放发展基金，加大航空补贴力度，新开通（加密）境外航线24条，进一步提升三亚国际化水平，招商引资成果丰硕；投入600900万元，完善基础设施建设提升三亚的竞争力；投入235000万元，大力实施亚龙湾第二通道（一期）、三横路等一批重大基础设施工程，加快推进三亚总部经济和中央商务区建设，着力补齐基础设施短板，推动高新技术产业园等园区发展。  </w:t>
      </w:r>
    </w:p>
    <w:p>
      <w:pPr>
        <w:widowControl w:val="0"/>
        <w:wordWrap/>
        <w:adjustRightInd/>
        <w:snapToGrid/>
        <w:spacing w:line="620" w:lineRule="exact"/>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rPr>
        <w:t>3.积极培育旅游消费新热点，加快建设国际旅游消费中心</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全年投入170800万元，大力优化旅游服务环境，丰富多元化旅游产品体系，旅游产品供给提质增效，国际旅游消费中心建设取得新突破。投入145500万元，保障第六届亚洲沙滩运动会筹办工作全面推进，加快城市形象提升、全方位宣传、竞赛场地及配套设施建设，保障国有景区景点建设，加强旅游行业标准化建设，成功举办第二届海南岛国际电影节，支持举办第三届三亚国际音乐节、FE电动方程式锦标赛和首届三亚国际花卉旅游节等节庆赛事活动，提升三亚的国际影响力，支持发展邮轮、游艇等旅游新业态产品；投入25300万元，助力国际旅游消费年活动，积极开辟境外旅游市场，不断拓展国际客源，不断提升三亚的国际影响力，加快打造特色化多元化旅游吸引力体系，鼓励发展夜间经济。</w:t>
      </w:r>
    </w:p>
    <w:p>
      <w:pPr>
        <w:widowControl w:val="0"/>
        <w:wordWrap/>
        <w:adjustRightInd/>
        <w:snapToGrid/>
        <w:spacing w:line="620" w:lineRule="exact"/>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rPr>
        <w:t>4. 坚决打好污染防治攻坚战，巩固提升生态环境质量</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全年投入208000万元，加大生态文明建设投入，全力推动督察反馈问题整改落实，生态环境六大专项整治深入推进，入选全国第三批城市黑臭水体治理示范城市，被确定为全国首批“无废城市”建设试点之一，国家级生态文明建设示范市建设有序推进。投入6900万元，实施森林生态效益补偿；投入8800万元，开展亚龙溪、漳波河等水环境综合整治工程；投入20000万元，开展三亚市农村生活污水治理工程；投入172300万元，实施雨污水管网治理工程，提升污水处理厂污水处理能力，补贴生活垃圾焚烧发电、垃圾渗滤液和餐厨垃圾处理项目，实施重要生态系统保护和修复工程，落实河长制、湖长制，推进城市绿化美化工程。</w:t>
      </w:r>
    </w:p>
    <w:p>
      <w:pPr>
        <w:widowControl w:val="0"/>
        <w:wordWrap/>
        <w:adjustRightInd/>
        <w:snapToGrid/>
        <w:spacing w:line="620" w:lineRule="exact"/>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rPr>
        <w:t>5. 加强保障和改善民生，不断增进民生福祉</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全年民生支出1727023万元，增长23.7%，占全市地方一般公共预算支出80.2%，其中市委、市政府2019年十大为民办实事事项投入464106万元，坚持以人为本，在发展中保障和改善民生，不断满足人民日益增长的美好生活需要。投入224140万元，支持教育发展优先，推进城乡义务教育优质均衡发展，积极引进优质教育资源，努力提高教育质量水平，人大附中三亚学校正式开学，上海外国语大学三亚附属中学等学校正在加快建设；投入118830万元，全面推进城乡医疗一体化建设，医疗卫生服务能力稳步提升，基层医疗机构标准化建设项目全面开工；投入127419万元，就业和社会保障不断加强，民生兜底保障能力进一步提高，在全省率先实现城乡低保标准一体化和特困人员救助供养待遇一体化，不断筑牢、守好基本民生保障底线；投入6635万元，坚决打赢精准脱贫攻坚战，全面落实“三不减三提高三加强”要求，着力开展产业扶贫、就业扶贫，多举措巩固提升脱贫攻坚成果；投入268468万元，大力推进住房保障建设，开工新建各类保障房，加快推进棚改项目，切实解决好本地居民和引进人才住房问题；投入249158万元，落实乡村振兴战略重大举措，大力发展热带特色高效农业，推动农村产业振兴，深入开展农村人居环境整治，扶持贫困村基础设施建设等项目开展，推进农村“三块地”改革；投入6538万元，“菜篮子”保障能力稳步增强，开设74家基本蔬菜平价网点，在15个大中型超市开设冷鲜猪肉应急投放点；投入70145万元，旅游和文化体育公共服务体系不断完善，加快文化体育基础设施建设，丰富群众文化体育生活。</w:t>
      </w:r>
    </w:p>
    <w:p>
      <w:pPr>
        <w:widowControl w:val="0"/>
        <w:wordWrap/>
        <w:adjustRightInd/>
        <w:snapToGrid/>
        <w:spacing w:line="620" w:lineRule="exact"/>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rPr>
        <w:t>6.改革预算管理模式，推进财政管理科学化</w:t>
      </w:r>
    </w:p>
    <w:p>
      <w:pPr>
        <w:widowControl w:val="0"/>
        <w:wordWrap/>
        <w:adjustRightInd/>
        <w:snapToGrid/>
        <w:spacing w:line="62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部门紧紧围绕市委、市政府中心工作，在全面深化改革和自贸区自贸港建设中主动作为，全面提升财政综合管理水平。在全省的财政总决算、部门决算、预算执行分析等三项省级评比中均获得全省一等奖，全省财政管理绩效综合考评获得省级1000万元奖励。</w:t>
      </w:r>
      <w:r>
        <w:rPr>
          <w:rFonts w:hint="default" w:ascii="Times New Roman" w:hAnsi="Times New Roman" w:eastAsia="仿宋_GB2312" w:cs="Times New Roman"/>
          <w:b/>
          <w:bCs/>
          <w:sz w:val="32"/>
          <w:szCs w:val="32"/>
        </w:rPr>
        <w:t>一是</w:t>
      </w:r>
      <w:r>
        <w:rPr>
          <w:rFonts w:hint="default" w:ascii="Times New Roman" w:hAnsi="Times New Roman" w:eastAsia="仿宋_GB2312" w:cs="Times New Roman"/>
          <w:sz w:val="32"/>
          <w:szCs w:val="32"/>
        </w:rPr>
        <w:t>贯彻落实中央和省过“紧日子”要求，报送市委市政府印发了《关于贯彻落实过“紧日子”要求压减一般性支出有关事项的实施方案》，在编制2019年预算已按不低于5％压减一般性支出的基础上，继续对全市各预算单位的一般性支出按压减比例不低于5％进行压减，对“三公”经费支出按照不低于3%的比例压减。</w:t>
      </w:r>
      <w:r>
        <w:rPr>
          <w:rFonts w:hint="default" w:ascii="Times New Roman" w:hAnsi="Times New Roman" w:eastAsia="仿宋_GB2312" w:cs="Times New Roman"/>
          <w:b/>
          <w:bCs/>
          <w:sz w:val="32"/>
          <w:szCs w:val="32"/>
        </w:rPr>
        <w:t>二是</w:t>
      </w:r>
      <w:r>
        <w:rPr>
          <w:rFonts w:hint="default" w:ascii="Times New Roman" w:hAnsi="Times New Roman" w:eastAsia="仿宋_GB2312" w:cs="Times New Roman"/>
          <w:sz w:val="32"/>
          <w:szCs w:val="32"/>
        </w:rPr>
        <w:t>为全面贯彻落实中央有关减税降费精神，通过采取财政奖补的方式，切实降低企业成本，减轻企业负担，提振企业的信心和竞争力，制定《三亚市企业减负财政奖补实施方案》，助力企业更好的扎根于三亚，更好的投身海南自贸区（港）的建设；出台《三亚市财政性奖补资金支出管理暂行规定》，简化奖补政策兑现工作，优化三亚营商环境，推进以支促收工作。</w:t>
      </w:r>
      <w:r>
        <w:rPr>
          <w:rFonts w:hint="default" w:ascii="Times New Roman" w:hAnsi="Times New Roman" w:eastAsia="仿宋_GB2312" w:cs="Times New Roman"/>
          <w:b/>
          <w:bCs/>
          <w:sz w:val="32"/>
          <w:szCs w:val="32"/>
        </w:rPr>
        <w:t>三是</w:t>
      </w:r>
      <w:r>
        <w:rPr>
          <w:rFonts w:hint="default" w:ascii="Times New Roman" w:hAnsi="Times New Roman" w:eastAsia="仿宋_GB2312" w:cs="Times New Roman"/>
          <w:sz w:val="32"/>
          <w:szCs w:val="32"/>
        </w:rPr>
        <w:t>为提高退税工作效率和做好纳税人服务工作，营造我市良好营商环境，从2019年8月1日起，所有金额的税收及附加退税均授权由税务局按规定进行办理，不再经过财政部门审核，税务局审核好后直接送达人行办理退库，进一步压缩退税办理时间，提升退税服务管理。进一步完善单位财务管理取消财务报账复核会计岗位，建立大额资金报账支付服务和督办工作机制，出台行政事业单位财务支出决策事前审查制度，进一步加强电子支付安全管理，对财务报账流程和岗位职责进行简化，加快财政资金支付速度，并从源头上防控资金风险，提高资金支付的安全性和高效性。</w:t>
      </w:r>
      <w:r>
        <w:rPr>
          <w:rFonts w:hint="default" w:ascii="Times New Roman" w:hAnsi="Times New Roman" w:eastAsia="仿宋_GB2312" w:cs="Times New Roman"/>
          <w:b/>
          <w:bCs/>
          <w:sz w:val="32"/>
          <w:szCs w:val="32"/>
        </w:rPr>
        <w:t>五是</w:t>
      </w:r>
      <w:r>
        <w:rPr>
          <w:rFonts w:hint="default" w:ascii="Times New Roman" w:hAnsi="Times New Roman" w:eastAsia="仿宋_GB2312" w:cs="Times New Roman"/>
          <w:sz w:val="32"/>
          <w:szCs w:val="32"/>
        </w:rPr>
        <w:t>对43个惠民惠农财政补贴资金“一卡通”项目进行了重点抽查；对26个单位共42个重大或重点民生项目进行了专项检查；对69个市本级管理部门2018年度整体支出情况实施绩效评价。检查督促各部门进一步规范财政资金使用，提高支出效率，确保财政资金及时发挥效益。</w:t>
      </w:r>
      <w:r>
        <w:rPr>
          <w:rFonts w:hint="default" w:ascii="Times New Roman" w:hAnsi="Times New Roman" w:eastAsia="仿宋_GB2312" w:cs="Times New Roman"/>
          <w:b/>
          <w:bCs/>
          <w:sz w:val="32"/>
          <w:szCs w:val="32"/>
        </w:rPr>
        <w:t>六是</w:t>
      </w:r>
      <w:r>
        <w:rPr>
          <w:rFonts w:hint="default" w:ascii="Times New Roman" w:hAnsi="Times New Roman" w:eastAsia="仿宋_GB2312" w:cs="Times New Roman"/>
          <w:sz w:val="32"/>
          <w:szCs w:val="32"/>
        </w:rPr>
        <w:t>加强扶贫资金监管，实行支出通报和约谈制度，开展实地督导工作，深入实地查找项目推动慢及资金支出进度缓慢的原因，建立财政扶贫资金支出绿色通道，优化资金审批流程，提高扶贫物资采购工作效率，全力支持打赢脱贫攻坚战。</w:t>
      </w:r>
      <w:r>
        <w:rPr>
          <w:rFonts w:hint="default" w:ascii="Times New Roman" w:hAnsi="Times New Roman" w:eastAsia="仿宋_GB2312" w:cs="Times New Roman"/>
          <w:b/>
          <w:bCs/>
          <w:sz w:val="32"/>
          <w:szCs w:val="32"/>
        </w:rPr>
        <w:t>七是</w:t>
      </w:r>
      <w:r>
        <w:rPr>
          <w:rFonts w:hint="default" w:ascii="Times New Roman" w:hAnsi="Times New Roman" w:eastAsia="仿宋_GB2312" w:cs="Times New Roman"/>
          <w:sz w:val="32"/>
          <w:szCs w:val="32"/>
        </w:rPr>
        <w:t>强化政府采购管理，完成政府采购项目282宗，采购预算112274万元，实际采购金额106567万元，节约资金5707万元，开展2019年度全国政府采购代理机构监督检查工作，印发《三亚市政府采购促进中小企业发展实施意见》《三亚市财政局关于促进政府采购公平竞争优化营商环境的通知》《三亚市财政局关于印发&lt;三亚市政府采购禁止限制清单&gt;的通知》，进一步完善采购管理，确保政府采购公开、公平、公正。</w:t>
      </w:r>
      <w:r>
        <w:rPr>
          <w:rFonts w:hint="default" w:ascii="Times New Roman" w:hAnsi="Times New Roman" w:eastAsia="仿宋_GB2312" w:cs="Times New Roman"/>
          <w:b/>
          <w:bCs/>
          <w:sz w:val="32"/>
          <w:szCs w:val="32"/>
        </w:rPr>
        <w:t>八是</w:t>
      </w:r>
      <w:r>
        <w:rPr>
          <w:rFonts w:hint="default" w:ascii="Times New Roman" w:hAnsi="Times New Roman" w:eastAsia="仿宋_GB2312" w:cs="Times New Roman"/>
          <w:sz w:val="32"/>
          <w:szCs w:val="32"/>
        </w:rPr>
        <w:t>加强预算评审，审结政府投资项目工程预算360个，送审造价1761897万元，审定造价1509713万元，核减不合理资金252184万元，平均核减率14.3%，保证三亚市政府重点项目建设的顺利进行，节约大量的财政资金，充分发挥了投资评审的作用。</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2019年，全市财政收入保持了平稳较快增长，重点领域和民生领域得到全力保障，财政改革取得新进展，圆满完成了市委、市政府交办的各项工作任务。在取得成绩的同时，也应当看到，目前财政运行中仍存在一些需要研究和解决的问题：财政收入增收压力进一步加大，建设自贸区（港）和保障民生发展需要更多财力保障，财政改革还需进一步深化。这些困难和问题将在今后的工作中逐步改进和解决，也恳请各位代表、委员一如既往给予指导和支持。</w:t>
      </w:r>
    </w:p>
    <w:p>
      <w:pPr>
        <w:widowControl w:val="0"/>
        <w:wordWrap/>
        <w:adjustRightInd/>
        <w:snapToGrid/>
        <w:spacing w:line="620" w:lineRule="exact"/>
        <w:textAlignment w:val="auto"/>
        <w:outlineLvl w:val="9"/>
        <w:rPr>
          <w:rFonts w:hint="default" w:ascii="Times New Roman" w:hAnsi="Times New Roman" w:eastAsia="黑体" w:cs="Times New Roman"/>
          <w:b w:val="0"/>
          <w:bCs w:val="0"/>
          <w:sz w:val="32"/>
          <w:szCs w:val="32"/>
        </w:rPr>
      </w:pPr>
      <w:r>
        <w:rPr>
          <w:rFonts w:hint="default" w:ascii="Times New Roman" w:hAnsi="Times New Roman" w:eastAsia="黑体" w:cs="Times New Roman"/>
          <w:b/>
          <w:bCs/>
          <w:sz w:val="32"/>
          <w:szCs w:val="32"/>
          <w:lang w:val="en-US" w:eastAsia="zh-CN"/>
        </w:rPr>
        <w:t xml:space="preserve">    </w:t>
      </w:r>
      <w:r>
        <w:rPr>
          <w:rFonts w:hint="default" w:ascii="Times New Roman" w:hAnsi="Times New Roman" w:eastAsia="黑体" w:cs="Times New Roman"/>
          <w:b w:val="0"/>
          <w:bCs w:val="0"/>
          <w:sz w:val="32"/>
          <w:szCs w:val="32"/>
        </w:rPr>
        <w:t>二、2020年预算草案</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2020年是全面建成小康社会和“十三五”规划收官之年，是海南自由贸易试验区和自由贸易港建设关键之年，是“十四五”规划谋篇布局之年。全市财政部门坚持以习近平新时代中国特色社会主义思想为指导，全面贯彻党的十九大和十九届二中、三中、四中全会精神，持续深入学习贯彻习近平总书记“4·13”重要讲话、对海南工作重要指示批示和中央12号文件精神，全面落实中央、省委和市委经济工作会议部署，坚持稳中求进工作总基调，坚持新发展理念，坚持以供给侧结构性改革为主线，坚持以改革开放为动力，坚决打赢三大攻坚战，全面做好“六稳”工作，紧紧围绕全市中心工作，统筹财力推进稳增长、促改革、调结构、惠民生、防风险、保稳定工作，推动经济高质量发展，提高治理体系和治理能力现代化水平，确保经济持续健康发展和社会大局稳定，确保全面建成小康社会和“十三五”规划圆满收官，为我市在海南全面深化改革开放和中国特色自由贸易港建设中勇当排头兵、打造新标杆提供坚实财政保障。</w:t>
      </w:r>
    </w:p>
    <w:p>
      <w:pPr>
        <w:widowControl w:val="0"/>
        <w:wordWrap/>
        <w:adjustRightInd/>
        <w:snapToGrid/>
        <w:spacing w:line="620" w:lineRule="exact"/>
        <w:textAlignment w:val="auto"/>
        <w:outlineLvl w:val="9"/>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lang w:val="en-US" w:eastAsia="zh-CN"/>
        </w:rPr>
        <w:t xml:space="preserve">    </w:t>
      </w:r>
      <w:r>
        <w:rPr>
          <w:rFonts w:hint="default" w:ascii="Times New Roman" w:hAnsi="Times New Roman" w:eastAsia="楷体_GB2312" w:cs="Times New Roman"/>
          <w:b/>
          <w:bCs/>
          <w:sz w:val="32"/>
          <w:szCs w:val="32"/>
        </w:rPr>
        <w:t>（一）2020年财政预算编制基本原则</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2020年预算编制遵循以下原则：一是优化支出结构，全力保障市委市政府重点工作。二是遵循“统筹兼顾、勤俭节约、量力而行、讲求绩效、收支平衡”原则，做好“保工资、保运转、保基本民生”。三是突出厉行节约，严格控制一般性支出。四是强化综合预算，加大财政统筹能力。</w:t>
      </w:r>
    </w:p>
    <w:p>
      <w:pPr>
        <w:widowControl w:val="0"/>
        <w:wordWrap/>
        <w:adjustRightInd/>
        <w:snapToGrid/>
        <w:spacing w:line="620" w:lineRule="exact"/>
        <w:textAlignment w:val="auto"/>
        <w:outlineLvl w:val="9"/>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lang w:val="en-US" w:eastAsia="zh-CN"/>
        </w:rPr>
        <w:t xml:space="preserve">    </w:t>
      </w:r>
      <w:r>
        <w:rPr>
          <w:rFonts w:hint="default" w:ascii="Times New Roman" w:hAnsi="Times New Roman" w:eastAsia="楷体_GB2312" w:cs="Times New Roman"/>
          <w:b/>
          <w:bCs/>
          <w:sz w:val="32"/>
          <w:szCs w:val="32"/>
        </w:rPr>
        <w:t>（二）全市财政预算收支目标</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2020年全市地方一般公共预算收入增长目标为6.5%，达到1162000万元。</w:t>
      </w:r>
    </w:p>
    <w:p>
      <w:pPr>
        <w:widowControl w:val="0"/>
        <w:wordWrap/>
        <w:adjustRightInd/>
        <w:snapToGrid/>
        <w:spacing w:line="620" w:lineRule="exact"/>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rPr>
        <w:t>1.一般公共预算安排情况</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全市地方一般公共预算收入1162000万元，增收71020万元，增长6.5%，加上转移性收入735497万元、省代理地方政府发行新增债券收入219800万元、再融资债券收入190000万元、预算稳定调节基金245000万元和调入资金50850万元，全市地方一般公共预算总收入2603147万元，增收81520万元，增长3.2%。全市地方一般公共预算支出2283558万元，增支129697万元，增长6.0%，加上转移性支出120780万元和中央、省代理地方政府发行债券还本支出195665万元，全市地方一般公共预算总支出2600003万元，增支78376万元，增长3.1%。收支相抵，年终结余3144万元。</w:t>
      </w:r>
    </w:p>
    <w:p>
      <w:pPr>
        <w:widowControl w:val="0"/>
        <w:wordWrap/>
        <w:adjustRightInd/>
        <w:snapToGrid/>
        <w:spacing w:line="620" w:lineRule="exact"/>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rPr>
        <w:t>2.政府性基金预算安排情况</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全市地方政府性基金预算收入1291456万元，增收270581万元，增长26.5%，加上转移性收入205000万元、省代理地方政府发行新增债券收入430000万元、再融资债券收入80000万元和上年结余收入33631万元，全市地方政府性基金预算总收入2040087万元，增收497780万元，增长32.3%。全市地方政府性基金预算支出1886710万元，增支560135万元，增长42.2%，加上中央、省代理地方政府发行债券还本支出93505万元、调出资金50000万元，全市地方政府性基金预算总支出2030215万元，增支521539万元，增长34.6%，收支相抵，年终结余9872万元。</w:t>
      </w:r>
    </w:p>
    <w:p>
      <w:pPr>
        <w:widowControl w:val="0"/>
        <w:wordWrap/>
        <w:adjustRightInd/>
        <w:snapToGrid/>
        <w:spacing w:line="620" w:lineRule="exact"/>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rPr>
        <w:t>3.国有资本经营预算安排情况</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全市国有资本经营预算收入2777万元，增收253万元，增长10.0%。全市国有资本经营预算支出1927万元，调入一般公共预算安排支出850万元，全市国有资本经营预算总支出2777万元，增支253万元，增长10.0%。收支相抵，年终无结余。</w:t>
      </w:r>
    </w:p>
    <w:p>
      <w:pPr>
        <w:widowControl w:val="0"/>
        <w:wordWrap/>
        <w:adjustRightInd/>
        <w:snapToGrid/>
        <w:spacing w:line="620" w:lineRule="exact"/>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rPr>
        <w:t>4.社会保险基金预算安排情况</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全市社会保险基金预算收入570838万元，减收19225万元，下降3.3%。全市社会保险基金预算支出436930万元，增支27379万元，增长6.7%。收支相抵，本年结余133908万元，加上上年结余1254126万元，年末滚存结余1388034万元。</w:t>
      </w:r>
    </w:p>
    <w:p>
      <w:pPr>
        <w:widowControl w:val="0"/>
        <w:wordWrap/>
        <w:adjustRightInd/>
        <w:snapToGrid/>
        <w:spacing w:line="620" w:lineRule="exact"/>
        <w:textAlignment w:val="auto"/>
        <w:outlineLvl w:val="9"/>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lang w:val="en-US" w:eastAsia="zh-CN"/>
        </w:rPr>
        <w:t xml:space="preserve">    </w:t>
      </w:r>
      <w:r>
        <w:rPr>
          <w:rFonts w:hint="default" w:ascii="Times New Roman" w:hAnsi="Times New Roman" w:eastAsia="楷体_GB2312" w:cs="Times New Roman"/>
          <w:b/>
          <w:bCs/>
          <w:sz w:val="32"/>
          <w:szCs w:val="32"/>
        </w:rPr>
        <w:t>（三）重点支出安排情况</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2020年，全市地方一般公共预算支出2283558万元。主要包括：市本级支出1903558万元和区级支出380000万元。市本级支出中，基本支出预算185000万元，项目支出预算1718558万元。</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2020年，全市地方政府性基金预算支出1886710万元。主要包括：土地使用权出让金支出1758053万元，城市基础设施配套费支出102057万元，污水处理费支出25000万元。</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2020年，全市国有资本经营预算支出2777万元。主要包括：</w:t>
      </w:r>
      <w:r>
        <w:rPr>
          <w:rFonts w:hint="default" w:ascii="Times New Roman" w:hAnsi="Times New Roman" w:eastAsia="仿宋_GB2312" w:cs="Times New Roman"/>
          <w:b/>
          <w:bCs/>
          <w:sz w:val="32"/>
          <w:szCs w:val="32"/>
        </w:rPr>
        <w:t>一是</w:t>
      </w:r>
      <w:r>
        <w:rPr>
          <w:rFonts w:hint="default" w:ascii="Times New Roman" w:hAnsi="Times New Roman" w:eastAsia="仿宋_GB2312" w:cs="Times New Roman"/>
          <w:sz w:val="32"/>
          <w:szCs w:val="32"/>
        </w:rPr>
        <w:t>安排工商分流人员经费508万元。</w:t>
      </w:r>
      <w:r>
        <w:rPr>
          <w:rFonts w:hint="default" w:ascii="Times New Roman" w:hAnsi="Times New Roman" w:eastAsia="仿宋_GB2312" w:cs="Times New Roman"/>
          <w:b/>
          <w:bCs/>
          <w:sz w:val="32"/>
          <w:szCs w:val="32"/>
        </w:rPr>
        <w:t>二是</w:t>
      </w:r>
      <w:r>
        <w:rPr>
          <w:rFonts w:hint="default" w:ascii="Times New Roman" w:hAnsi="Times New Roman" w:eastAsia="仿宋_GB2312" w:cs="Times New Roman"/>
          <w:sz w:val="32"/>
          <w:szCs w:val="32"/>
        </w:rPr>
        <w:t>安排聘请中介机构咨询购买服务经费500万元。</w:t>
      </w:r>
      <w:r>
        <w:rPr>
          <w:rFonts w:hint="default" w:ascii="Times New Roman" w:hAnsi="Times New Roman" w:eastAsia="仿宋_GB2312" w:cs="Times New Roman"/>
          <w:b/>
          <w:bCs/>
          <w:sz w:val="32"/>
          <w:szCs w:val="32"/>
        </w:rPr>
        <w:t>三是</w:t>
      </w:r>
      <w:r>
        <w:rPr>
          <w:rFonts w:hint="default" w:ascii="Times New Roman" w:hAnsi="Times New Roman" w:eastAsia="仿宋_GB2312" w:cs="Times New Roman"/>
          <w:sz w:val="32"/>
          <w:szCs w:val="32"/>
        </w:rPr>
        <w:t>安排“三供一业”财政补助经费350万元。</w:t>
      </w:r>
      <w:r>
        <w:rPr>
          <w:rFonts w:hint="default" w:ascii="Times New Roman" w:hAnsi="Times New Roman" w:eastAsia="仿宋_GB2312" w:cs="Times New Roman"/>
          <w:b/>
          <w:bCs/>
          <w:sz w:val="32"/>
          <w:szCs w:val="32"/>
        </w:rPr>
        <w:t>四是</w:t>
      </w:r>
      <w:r>
        <w:rPr>
          <w:rFonts w:hint="default" w:ascii="Times New Roman" w:hAnsi="Times New Roman" w:eastAsia="仿宋_GB2312" w:cs="Times New Roman"/>
          <w:sz w:val="32"/>
          <w:szCs w:val="32"/>
        </w:rPr>
        <w:t>安排改制国有企业清产核资工作经费300万元。</w:t>
      </w:r>
      <w:r>
        <w:rPr>
          <w:rFonts w:hint="default" w:ascii="Times New Roman" w:hAnsi="Times New Roman" w:eastAsia="仿宋_GB2312" w:cs="Times New Roman"/>
          <w:b/>
          <w:bCs/>
          <w:sz w:val="32"/>
          <w:szCs w:val="32"/>
        </w:rPr>
        <w:t>五是</w:t>
      </w:r>
      <w:r>
        <w:rPr>
          <w:rFonts w:hint="default" w:ascii="Times New Roman" w:hAnsi="Times New Roman" w:eastAsia="仿宋_GB2312" w:cs="Times New Roman"/>
          <w:sz w:val="32"/>
          <w:szCs w:val="32"/>
        </w:rPr>
        <w:t>国有股权管理经费、商贸企业办公及离休人员管理等269万元。</w:t>
      </w:r>
      <w:r>
        <w:rPr>
          <w:rFonts w:hint="default" w:ascii="Times New Roman" w:hAnsi="Times New Roman" w:eastAsia="仿宋_GB2312" w:cs="Times New Roman"/>
          <w:b/>
          <w:bCs/>
          <w:sz w:val="32"/>
          <w:szCs w:val="32"/>
        </w:rPr>
        <w:t>六是</w:t>
      </w:r>
      <w:r>
        <w:rPr>
          <w:rFonts w:hint="default" w:ascii="Times New Roman" w:hAnsi="Times New Roman" w:eastAsia="仿宋_GB2312" w:cs="Times New Roman"/>
          <w:sz w:val="32"/>
          <w:szCs w:val="32"/>
        </w:rPr>
        <w:t xml:space="preserve">调入一般公共预算安排支出经费850万元。 </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2020年，全市社会保险基金预算支出436930万元。主要包括：</w:t>
      </w:r>
      <w:r>
        <w:rPr>
          <w:rFonts w:hint="default" w:ascii="Times New Roman" w:hAnsi="Times New Roman" w:eastAsia="仿宋_GB2312" w:cs="Times New Roman"/>
          <w:b/>
          <w:bCs/>
          <w:sz w:val="32"/>
          <w:szCs w:val="32"/>
        </w:rPr>
        <w:t>一是</w:t>
      </w:r>
      <w:r>
        <w:rPr>
          <w:rFonts w:hint="default" w:ascii="Times New Roman" w:hAnsi="Times New Roman" w:eastAsia="仿宋_GB2312" w:cs="Times New Roman"/>
          <w:sz w:val="32"/>
          <w:szCs w:val="32"/>
        </w:rPr>
        <w:t>企业职工基本养老保险基金支出250021万元。</w:t>
      </w:r>
      <w:r>
        <w:rPr>
          <w:rFonts w:hint="default" w:ascii="Times New Roman" w:hAnsi="Times New Roman" w:eastAsia="仿宋_GB2312" w:cs="Times New Roman"/>
          <w:b/>
          <w:bCs/>
          <w:sz w:val="32"/>
          <w:szCs w:val="32"/>
        </w:rPr>
        <w:t>二是</w:t>
      </w:r>
      <w:r>
        <w:rPr>
          <w:rFonts w:hint="default" w:ascii="Times New Roman" w:hAnsi="Times New Roman" w:eastAsia="仿宋_GB2312" w:cs="Times New Roman"/>
          <w:sz w:val="32"/>
          <w:szCs w:val="32"/>
        </w:rPr>
        <w:t>城乡居民基本养老保险基金支出16405万元。</w:t>
      </w:r>
      <w:r>
        <w:rPr>
          <w:rFonts w:hint="default" w:ascii="Times New Roman" w:hAnsi="Times New Roman" w:eastAsia="仿宋_GB2312" w:cs="Times New Roman"/>
          <w:b/>
          <w:bCs/>
          <w:sz w:val="32"/>
          <w:szCs w:val="32"/>
        </w:rPr>
        <w:t>三是</w:t>
      </w:r>
      <w:r>
        <w:rPr>
          <w:rFonts w:hint="default" w:ascii="Times New Roman" w:hAnsi="Times New Roman" w:eastAsia="仿宋_GB2312" w:cs="Times New Roman"/>
          <w:sz w:val="32"/>
          <w:szCs w:val="32"/>
        </w:rPr>
        <w:t>机关事业单位基本养老保险基金支出63215万元。</w:t>
      </w:r>
      <w:r>
        <w:rPr>
          <w:rFonts w:hint="default" w:ascii="Times New Roman" w:hAnsi="Times New Roman" w:eastAsia="仿宋_GB2312" w:cs="Times New Roman"/>
          <w:b/>
          <w:bCs/>
          <w:sz w:val="32"/>
          <w:szCs w:val="32"/>
        </w:rPr>
        <w:t>四是</w:t>
      </w:r>
      <w:r>
        <w:rPr>
          <w:rFonts w:hint="default" w:ascii="Times New Roman" w:hAnsi="Times New Roman" w:eastAsia="仿宋_GB2312" w:cs="Times New Roman"/>
          <w:sz w:val="32"/>
          <w:szCs w:val="32"/>
        </w:rPr>
        <w:t>职工基本医疗保险（含生育保险）基金支出65859万元。</w:t>
      </w:r>
      <w:r>
        <w:rPr>
          <w:rFonts w:hint="default" w:ascii="Times New Roman" w:hAnsi="Times New Roman" w:eastAsia="仿宋_GB2312" w:cs="Times New Roman"/>
          <w:b/>
          <w:bCs/>
          <w:sz w:val="32"/>
          <w:szCs w:val="32"/>
        </w:rPr>
        <w:t>五是</w:t>
      </w:r>
      <w:r>
        <w:rPr>
          <w:rFonts w:hint="default" w:ascii="Times New Roman" w:hAnsi="Times New Roman" w:eastAsia="仿宋_GB2312" w:cs="Times New Roman"/>
          <w:sz w:val="32"/>
          <w:szCs w:val="32"/>
        </w:rPr>
        <w:t>城乡居民基本医疗保险基金支出33040万元。</w:t>
      </w:r>
      <w:r>
        <w:rPr>
          <w:rFonts w:hint="default" w:ascii="Times New Roman" w:hAnsi="Times New Roman" w:eastAsia="仿宋_GB2312" w:cs="Times New Roman"/>
          <w:b/>
          <w:bCs/>
          <w:sz w:val="32"/>
          <w:szCs w:val="32"/>
        </w:rPr>
        <w:t>六是</w:t>
      </w:r>
      <w:r>
        <w:rPr>
          <w:rFonts w:hint="default" w:ascii="Times New Roman" w:hAnsi="Times New Roman" w:eastAsia="仿宋_GB2312" w:cs="Times New Roman"/>
          <w:sz w:val="32"/>
          <w:szCs w:val="32"/>
        </w:rPr>
        <w:t>工伤保险基金支出2585万元。</w:t>
      </w:r>
      <w:r>
        <w:rPr>
          <w:rFonts w:hint="default" w:ascii="Times New Roman" w:hAnsi="Times New Roman" w:eastAsia="仿宋_GB2312" w:cs="Times New Roman"/>
          <w:b/>
          <w:bCs/>
          <w:sz w:val="32"/>
          <w:szCs w:val="32"/>
        </w:rPr>
        <w:t>七是</w:t>
      </w:r>
      <w:r>
        <w:rPr>
          <w:rFonts w:hint="default" w:ascii="Times New Roman" w:hAnsi="Times New Roman" w:eastAsia="仿宋_GB2312" w:cs="Times New Roman"/>
          <w:sz w:val="32"/>
          <w:szCs w:val="32"/>
        </w:rPr>
        <w:t>失业保险基金支出5805万元。</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rPr>
        <w:t>1.全力保障全面深化改革开放试验区建设，安排1700000万元支持相关项目实施，</w:t>
      </w:r>
      <w:r>
        <w:rPr>
          <w:rFonts w:hint="default" w:ascii="Times New Roman" w:hAnsi="Times New Roman" w:eastAsia="仿宋_GB2312" w:cs="Times New Roman"/>
          <w:sz w:val="32"/>
          <w:szCs w:val="32"/>
        </w:rPr>
        <w:t>加快形成高水平开放新格局，围绕重点园区试行自贸港政策，对标世界最高水平的开放形态，以贸易自由和投资自由为重点，继续大力推进制度创新，通过制度创新优化营商环境，支持争当海南全面深化改革开放新标杆，推动经济高质量发展，在自由贸易港建设中奋勇争先。其中主要包括：安排200000万元，保障三亚总部经济及中央商务区、深海科技城、南繁科技城等土地收储，另外积极争取上级资金和地债资金，全力保障“三城一基地”项目加快推进；安排1310000万元，完善基础设施建设提升三亚的竞争力，加快园区基础设施建设和产业项目落地，支持高起点打造三亚总部经济及中央商务区，推动重点产业园区高质量发展，把园区打造成自贸港做大流量的“量点”和突出实效的“亮点”，推进“五网”基础设施提质升级，大力实施海南西环高铁和货线三亚至乐东（岭头）段开行公交化旅游化列车改造工程、G98环岛高速大三亚段扩容工程，三亚湾功能提升、三横路、亚龙湾第二通道（一期）、胜利路改造等一批重大基础设施工程，加快构建现代基础设施体系；安排6000万元，深化农垦改革；安排20000万元，支持持续深化国资国企改革，做大做强，不断提升国资国企运营质量和效益，更好服务国家战略需要和城市发展、民生保障；安排140000万元，实施创新驱动发展战略，大力发展现代服务业，积极推动现代服务业集聚发展，加快发展高新技术产业，大力发展信息技术和数字经济，创新发展金融产业，落实好“基石计划”“白鹭计划”和扶持奖励办法，强化金融服务实体经济，培育医疗健康产业，巩固和加密现有国际航线，力争新开通国际航线20条以上，强化招商引资，依托自贸港政策提升招商水平，着力打造一流营商环境，落实产业扶持政策支持民营企业发展。</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b/>
          <w:bCs/>
          <w:sz w:val="32"/>
          <w:szCs w:val="32"/>
        </w:rPr>
        <w:t>2.全力保障国家生态文明试验区建设，安排246000万元支持相关项目实施，</w:t>
      </w:r>
      <w:r>
        <w:rPr>
          <w:rFonts w:hint="default" w:ascii="Times New Roman" w:hAnsi="Times New Roman" w:eastAsia="仿宋_GB2312" w:cs="Times New Roman"/>
          <w:sz w:val="32"/>
          <w:szCs w:val="32"/>
        </w:rPr>
        <w:t>牢固树立和全面践行绿水青山就是金山银山的理念，不折不扣抓好中央环保督察和国家海洋督察整改工作，坚决打好污染防治攻坚战，加强环境保护和生态建设，健全生态文明建设长效机制，抓好生态示范创建工作。其中主要包括：安排10000万元，开展大兵河、漳波河、龙潭河等环境综合整治工程；安排20000万元，支持各区开展美丽乡村；安排75000万元，完善城乡污水、垃圾收集处理设施，建设落笔清流园水质净化厂，实施雨污水管网治理工程，提升污水处理厂污水处理能力，补贴生活垃圾焚烧发电、垃圾渗滤液和餐厨垃圾处理项目；安排6964万元，实施森林生态效益补偿，全市13个村委会纳入生态效益补偿范围；安排74000万元，加强河流、海洋生态环境保护，加大生态系统保护修复力度，统筹推进山水林田湖草综合治理，实施亚龙湾西段人工补沙等重要生态系统保护和山体修复工程，推进城市绿化美化工程；安排60000万元，持续推进国家第三批低碳试点城市和“无废城市”建设试点工作，保障国家生态文明试验区其他工作开展。</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b/>
          <w:bCs/>
          <w:sz w:val="32"/>
          <w:szCs w:val="32"/>
        </w:rPr>
        <w:t>3.全力保障国际旅游消费中心建设，安排200000万元支持相关项目实施，</w:t>
      </w:r>
      <w:r>
        <w:rPr>
          <w:rFonts w:hint="default" w:ascii="Times New Roman" w:hAnsi="Times New Roman" w:eastAsia="仿宋_GB2312" w:cs="Times New Roman"/>
          <w:sz w:val="32"/>
          <w:szCs w:val="32"/>
        </w:rPr>
        <w:t>支持加快打造国际旅游消费中心，发挥自贸港政策优势，以高品质产品增强核心竞争力，落实好免税购物政策，推动旅游国际化，提升旅游体验感，全力推进旅游供给侧结构性改革。其中主要包括：安排亚洲沙滩运动会保障经费61000万元，“办好一次会，搞活一座城”，保障亚沙委及成员单位各项工作开展，统筹财力并积极争取上级资金和新增债券资金保障，加快推进场馆建设、市场开发、城市功能和形象提升等重点工作，确保2020年第六届亚洲沙滩运动会成功举办；安排50000万元，保障风景名胜区范围内国有企业经营的景区景点建设，加强旅游行业标准化建设，推进全域旅游，继续加强旅游市场监管，持续优化旅游市场环境；安排大型活动经费6000万元，支持开展国际旅游消费年活动，打造海南岛国际电影节、三亚国际音乐节等品牌活动，引入一批国际一流赛事和文化活动，提升三亚的国际影响力；安排旅游促销经费5000万元，深度开发国际旅游市场，持续加大入境旅游市场开发力度，不断拓展国际客源；安排文化产业专项资金3000万元，支持三亚文化产业发展，打造文化精品；安排15000万元，支持开辟三亚邮轮母港航线，大力发展会展经济，引进国际高水平会议论坛及展览，打造会展品牌；安排60000万元，支持夜间经济发展，丰富群众文化体育生活，保障国际旅游消费中心其他工作开展。</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b/>
          <w:bCs/>
          <w:sz w:val="32"/>
          <w:szCs w:val="32"/>
        </w:rPr>
        <w:t>4.全力保障国家重大战略服务保障区建设，安排311000万元支持相关项目实施，</w:t>
      </w:r>
      <w:r>
        <w:rPr>
          <w:rFonts w:hint="default" w:ascii="Times New Roman" w:hAnsi="Times New Roman" w:eastAsia="仿宋_GB2312" w:cs="Times New Roman"/>
          <w:sz w:val="32"/>
          <w:szCs w:val="32"/>
        </w:rPr>
        <w:t>深度融入海洋强国、军民融合发展等重大战略，打造国家军民融合创新示范市，打造对外开放新高地，积极打造四个平台，加快崖州湾科技城建设，不断提升三亚影响力。其中主要包括：安排165000万元并争取上级转移支付资金和地债资金，支持崖州湾科技城加快发展建设，加快国家南繁科研育种基地、国家热带农业科学中心、全球动植物种质资源引进中转基地、国家深海基地南方中心等国家级重点科研创新基础设施和条件平台建设，加快发展海洋科技和海洋产业，着力打造“南繁硅谷”，建设具有国际水准的科教城；安排40000万元总部企业扶持资金，鼓励企业在三亚设立总部和区域总部，统筹财力并积极争取上级资金和新增债券，加快推进三亚总部经济区及中央商务区建设；安排48000万元，推进军民融合深度发展，保障驻地部队建设，开展人防工程建设，支持武警三亚市支队教导队工程、天涯消防站、东岸消防站等项目建设；安排博鳌亚洲论坛保障经费2400万元，推动与有关国家和地区开展更加务实高效的合作；安排三亚城市超级大脑建设及运营经费10500万元，提升城市管理水平；安排45000万元，保障国家重大战略服务保障区其他工作开展。</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b/>
          <w:bCs/>
          <w:sz w:val="32"/>
          <w:szCs w:val="32"/>
        </w:rPr>
        <w:t>5.全力保障和改善民生，安排1839920万元支持相关项目实施，</w:t>
      </w:r>
      <w:r>
        <w:rPr>
          <w:rFonts w:hint="default" w:ascii="Times New Roman" w:hAnsi="Times New Roman" w:eastAsia="仿宋_GB2312" w:cs="Times New Roman"/>
          <w:sz w:val="32"/>
          <w:szCs w:val="32"/>
        </w:rPr>
        <w:t>全市安排民生支出1839920万元，增长6.5%，占全市地方一般公共预算支出80.6%，其中保障市委、市政府2020年十大为民办实事事项投入80084万元，坚持以人民为中心的发展思想，坚持在发展中保障和改善民生，持续增进民生福祉，不断提升人民生活水平，提高人民群众获得感、幸福感、安全感。</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b/>
          <w:bCs/>
          <w:sz w:val="32"/>
          <w:szCs w:val="32"/>
        </w:rPr>
        <w:t>一是大力促进教育发展。</w:t>
      </w:r>
      <w:r>
        <w:rPr>
          <w:rFonts w:hint="default" w:ascii="Times New Roman" w:hAnsi="Times New Roman" w:eastAsia="仿宋_GB2312" w:cs="Times New Roman"/>
          <w:sz w:val="32"/>
          <w:szCs w:val="32"/>
        </w:rPr>
        <w:t>安排230000万元，加大教育投入，支持教育优先发展。主要安排18000万元并争取地债资金支持，推进进士学校、湾坡小学、南滨小学等中小学校升级改造，以及人大附中三亚学校、西南大学三亚中学建设，完成上海外国语大学三亚附属中学等学校建设；安排13660万元，推进第一幼儿园、南田幼儿园、立才幼儿园等11所幼儿园建设；安排15000万元，开展城镇小区配套幼儿园治理工作，着力补足学前教育短板，保障适龄儿童接受学前教育，采取回购、回收等方式将6所小区配套幼儿园办为公办幼儿园；安排9100万元，落实义务教育“五免一补”、普通高中“四免一补”和中职教育“三免一补”助学政策及农村义务教育阶段公办学校学生免费营养餐工程；安排3338万元，支持海南中学与实验中学合作办学、第六中学与西南大学合作办学、人大附中三亚学校合作办学、上外附中合作办学；安排1900万元，扶持民办教育健康发展；安排8610万元，完善学校教学设备以及图书配置，大力引进好校长、好教师，加强教师培训，不断提高教育质量水平，推进城乡义务教育优质均衡发展。</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b/>
          <w:bCs/>
          <w:sz w:val="32"/>
          <w:szCs w:val="32"/>
        </w:rPr>
        <w:t>二是完善医疗卫生服务体系。</w:t>
      </w:r>
      <w:r>
        <w:rPr>
          <w:rFonts w:hint="default" w:ascii="Times New Roman" w:hAnsi="Times New Roman" w:eastAsia="仿宋_GB2312" w:cs="Times New Roman"/>
          <w:sz w:val="32"/>
          <w:szCs w:val="32"/>
        </w:rPr>
        <w:t>安排125000万元，推动全市医疗卫生事业健康发展，持续推进“健康三亚”建设。主要安排1000万元，支持基层医疗卫生机构建设；安排3100万元，用于城乡居民医疗保险财政补助标准提高30元，保持城乡居民医疗保险参保率99%以上；安排8266万元，保障基本公共卫生服务及卫生健康发展专项资金；安排卫生人才经费1997万元，用于基层卫生人才和偏远地区卫生人才乡镇工作补贴，及聘用优秀医生、派遣专家及学科带头人；安排亚洲沙滩运动会医疗保障经费6575万元；安排6000万元，支持基层医疗卫生机构标准化、“大三亚”120急救体系、中医院改扩建项目和疾病预防控制中心新区建设；安排11378万元，支持市中心医院、妇幼保健院、人民医院、中医院设备购置，加强与著名医疗机构合作建成一批国家级、省级重点专科，促进妇女儿童、中医药等重点学科发展。</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b/>
          <w:bCs/>
          <w:sz w:val="32"/>
          <w:szCs w:val="32"/>
        </w:rPr>
        <w:t>三是完善社会保障体系。</w:t>
      </w:r>
      <w:r>
        <w:rPr>
          <w:rFonts w:hint="default" w:ascii="Times New Roman" w:hAnsi="Times New Roman" w:eastAsia="仿宋_GB2312" w:cs="Times New Roman"/>
          <w:sz w:val="32"/>
          <w:szCs w:val="32"/>
        </w:rPr>
        <w:t>安排130000万元，坚持保障基本民生，切实做好普惠性、基础性、兜底性民生建设，提高社会服务保障水平。主要安排7824万元，对城乡居民养老保险缴费给予补贴；安排4606万元，发放困难残疾人生活补贴、重度残疾人护理补贴和智力精神、重度残疾人托养补助；安排450万元，实施城镇老年居民养老保险财政资金补贴；安排2100万元，保障高龄老人基本生活；安排80000万元，用于保障被征地农民社会保险及就业培训；安排373万元，用于困境儿童、事实无人抚养儿童、散居孤儿生活补贴及教育经费；安排16313万元，提升社会保障水平，开展0-14岁儿童先天性心脏病筛查及诊治，对患有严重先天性心脏病适龄儿童提供免费手术治疗，开展结核病免费治疗，支持社会福利和救助事业发展；安排2500万元，支持就业创业工作，突出稳就业，给予职业技能培训生活补助、就业创业扶贫基地奖励等，加快建设公共就业创业服务平台；安排退役军人补助资金2652万元，主要用于退役士兵一次性经济补偿及社保接续补助资金。</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b/>
          <w:bCs/>
          <w:sz w:val="32"/>
          <w:szCs w:val="32"/>
        </w:rPr>
        <w:t>四是支持打赢脱贫攻坚战。</w:t>
      </w:r>
      <w:r>
        <w:rPr>
          <w:rFonts w:hint="default" w:ascii="Times New Roman" w:hAnsi="Times New Roman" w:eastAsia="仿宋_GB2312" w:cs="Times New Roman"/>
          <w:sz w:val="32"/>
          <w:szCs w:val="32"/>
        </w:rPr>
        <w:t>安排7674万元，多举措持续巩固脱贫攻坚成果，继续加大产业、就业帮扶力度，带动脱贫人口全面发展增收。主要安排3500万元，完成贫困人口脱贫任务，对脱贫户进行巩固提升、加强贫困村基础设施建设、产业发展等方面扶持力度，增加贫困户收入；安排900万元，实行贫困家庭劳动力公益性岗位补贴、外出务工交通补助、外出务工奖补；安排1100万元，实行健康扶贫保障机制；安排450万元，给予建档立卡家庭学生、农村低保家庭、特困供养家庭学生从学前教育至高等教育的资助。</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b/>
          <w:bCs/>
          <w:sz w:val="32"/>
          <w:szCs w:val="32"/>
        </w:rPr>
        <w:t>五是扎实推进乡村振兴战略。</w:t>
      </w:r>
      <w:r>
        <w:rPr>
          <w:rFonts w:hint="default" w:ascii="Times New Roman" w:hAnsi="Times New Roman" w:eastAsia="仿宋_GB2312" w:cs="Times New Roman"/>
          <w:sz w:val="32"/>
          <w:szCs w:val="32"/>
        </w:rPr>
        <w:t>安排272066万元，落实乡村振兴战略重大举措，不断提升城乡一体化水平。主要安排45000万元，打造热带特色高效农业王牌，做强做优热带特色高效农业，高标准建设农田，推动农村产业振兴，加快推进农业农村现代化；安排6066万元，对农业保险保费进行补贴；安排1500万元，对农民小额贷款进行贴息；安排13000万元，加强客运东站项目、吉阳公交综合场站等公交基础设施建设，促进公交城乡一体化；安排206500万元，不断完善城乡基础设施建设，打造一批具有影响力的标杆性美丽乡村，开展天涯区南岛居饮水安全工程，在天涯区红塘、布甫、羊栏村，吉阳区落笔村、南新居、半岭水库，海棠区龙江、东溪、庄大、椰林村，崖州区南滨居开展安全饮水配水管网及用户管网改造工程，推动建设岭曲—汤他水库补水工程，持续开展农村人居环境整治，推进农村集体产权制度改革，扶持壮大农村集体经济，促进农民增收致富。</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b/>
          <w:bCs/>
          <w:sz w:val="32"/>
          <w:szCs w:val="32"/>
        </w:rPr>
        <w:t>六是加强“菜篮子”建设。</w:t>
      </w:r>
      <w:r>
        <w:rPr>
          <w:rFonts w:hint="default" w:ascii="Times New Roman" w:hAnsi="Times New Roman" w:eastAsia="仿宋_GB2312" w:cs="Times New Roman"/>
          <w:sz w:val="32"/>
          <w:szCs w:val="32"/>
        </w:rPr>
        <w:t>安排9900万元，积极平抑物价和抓好“菜篮子”工程。主要安排2000万元，补贴畜牧业菜篮子保供稳价；安排1800万元，支持常年蔬菜点对点配送体系建设和瓜菜基地建设；安排3660万元，补贴平价农贸市场、社区政府平价菜销售网点、基本蔬菜平价专营区，建设公益性农贸市场及定时定点交易区，建设5个公益性农贸市场（含临时公益性市场）及6个定时定点交易区（含有建筑物或露天的），新增11家菜篮子平价专营店（区）及100个公益性摊位，解决群众菜篮子问题；安排2440万元，做好重要生活必需品应急储备，用于预防及应急救灾。</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b/>
          <w:bCs/>
          <w:sz w:val="32"/>
          <w:szCs w:val="32"/>
        </w:rPr>
        <w:t>七是大力推进住房保障建设。</w:t>
      </w:r>
      <w:r>
        <w:rPr>
          <w:rFonts w:hint="default" w:ascii="Times New Roman" w:hAnsi="Times New Roman" w:eastAsia="仿宋_GB2312" w:cs="Times New Roman"/>
          <w:sz w:val="32"/>
          <w:szCs w:val="32"/>
        </w:rPr>
        <w:t>安排452000万元，大力推进住房保障建设。主要安排425000万元，加快推进东岸、月川、凤凰海岸等棚改项目开展，并带动社会投资棚改项目，进一步改善群众居住环境；安排27000万元，推进同心家园三十四期保障性住房项目和海棠区创业人才保障房项目建设，其中同心家园三十四期项目建设521套保障性住房，解决山区教师和医生护士以及本地居民住房问题，海棠区创业人才保障房项目建设3703套保障性住房，解决各类人才、本市无住房的户籍居民家庭的住房问题。</w:t>
      </w:r>
    </w:p>
    <w:p>
      <w:pPr>
        <w:widowControl w:val="0"/>
        <w:wordWrap/>
        <w:adjustRightInd/>
        <w:snapToGrid/>
        <w:spacing w:line="620" w:lineRule="exact"/>
        <w:textAlignment w:val="auto"/>
        <w:outlineLvl w:val="9"/>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lang w:val="en-US" w:eastAsia="zh-CN"/>
        </w:rPr>
        <w:t xml:space="preserve">    </w:t>
      </w:r>
      <w:r>
        <w:rPr>
          <w:rFonts w:hint="default" w:ascii="Times New Roman" w:hAnsi="Times New Roman" w:eastAsia="黑体" w:cs="Times New Roman"/>
          <w:b w:val="0"/>
          <w:bCs w:val="0"/>
          <w:sz w:val="32"/>
          <w:szCs w:val="32"/>
        </w:rPr>
        <w:t>三、深化改革创新，全面提升理财本领，为三亚在海南全面深化改革开放和中国特色自由贸易港建设中勇当排头兵、打造新标杆做出新贡献</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2020年，全市财政部门将继续以改革创新为动力，紧紧围绕市委、市政府中心工作，在海南全面深化改革开放和中国特色自由贸易港建设中勇当排头兵、打造新标杆中主动作为，不断提高理财本领，深化财税体制改革，优化财政收支结构，促进产业结构优化调整，全力完成全年各项财政工作。</w:t>
      </w:r>
    </w:p>
    <w:p>
      <w:pPr>
        <w:widowControl w:val="0"/>
        <w:wordWrap/>
        <w:adjustRightInd/>
        <w:snapToGrid/>
        <w:spacing w:line="620" w:lineRule="exact"/>
        <w:textAlignment w:val="auto"/>
        <w:outlineLvl w:val="9"/>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lang w:val="en-US" w:eastAsia="zh-CN"/>
        </w:rPr>
        <w:t xml:space="preserve">    </w:t>
      </w:r>
      <w:r>
        <w:rPr>
          <w:rFonts w:hint="default" w:ascii="Times New Roman" w:hAnsi="Times New Roman" w:eastAsia="楷体_GB2312" w:cs="Times New Roman"/>
          <w:b/>
          <w:bCs/>
          <w:sz w:val="32"/>
          <w:szCs w:val="32"/>
        </w:rPr>
        <w:t>（一）贯彻落实好财税政策，全力助推自贸港建设</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积极按照中央决策部署和省市统筹安排，围绕崖州湾科技城、三亚总部经济及中央商务区等重点园区，全面贯彻落实好各项财税政策，用好用足政策，让政策优势落实到具体企业、具体项目上，形成实实在在的“量点”和“亮点”，进一步推动全方位高水平改革开放，全力助推自贸港建设。</w:t>
      </w:r>
    </w:p>
    <w:p>
      <w:pPr>
        <w:widowControl w:val="0"/>
        <w:wordWrap/>
        <w:adjustRightInd/>
        <w:snapToGrid/>
        <w:spacing w:line="620" w:lineRule="exact"/>
        <w:textAlignment w:val="auto"/>
        <w:outlineLvl w:val="9"/>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 xml:space="preserve">    （二）依法强化征收管理，确保完成全年预算任务</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跟踪落实好各项财税政策，加强与税务部门通力协作，坚持依法治税，落实好更大规模减税降费政策，重点监测房地产业、固定资产投资等领域，强化税源监控管理，及时挖掘税收增长潜力，继续做好清理历年欠税和土地增值税等税收清算，同时加强非税收入征管，应收尽收，确保实现年度预期增长目标，为全市经济社会发展提供财力保障。</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楷体_GB2312" w:cs="Times New Roman"/>
          <w:b/>
          <w:bCs/>
          <w:sz w:val="32"/>
          <w:szCs w:val="32"/>
        </w:rPr>
        <w:t>（三）支持经济发展质量提升，放大财政政策杠杆效应</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创新性用好有关自贸区（港）财政政策，配合各行业主管部门及时修订调整产业扶持政策，确保各项产业扶持政策与自贸港规划相适应，放大相关产业扶持政策杠杆效应，加强税源培植，支持加快培育国际一流营商环境和加大招商引资力度，夯实三亚经济发展基础。</w:t>
      </w:r>
    </w:p>
    <w:p>
      <w:pPr>
        <w:widowControl w:val="0"/>
        <w:wordWrap/>
        <w:adjustRightInd/>
        <w:snapToGrid/>
        <w:spacing w:line="620" w:lineRule="exact"/>
        <w:textAlignment w:val="auto"/>
        <w:outlineLvl w:val="9"/>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lang w:val="en-US" w:eastAsia="zh-CN"/>
        </w:rPr>
        <w:t xml:space="preserve">    </w:t>
      </w:r>
      <w:r>
        <w:rPr>
          <w:rFonts w:hint="default" w:ascii="Times New Roman" w:hAnsi="Times New Roman" w:eastAsia="楷体_GB2312" w:cs="Times New Roman"/>
          <w:b/>
          <w:bCs/>
          <w:sz w:val="32"/>
          <w:szCs w:val="32"/>
        </w:rPr>
        <w:t>（四）多渠道筹措资金，全力保障重点工作开展</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抓住中央继续实施积极财政政策的机遇，争取更多的地方债券资金和上级转移支付资金，为全市重大基础设施项目资金需求提供有力保障。继续加大力度清理盘活财政存量资金，减少资金沉淀，提高资金使用效益，全力保障市委、市政府重点工作资金需求，全力助推自贸区（港）建设。</w:t>
      </w:r>
    </w:p>
    <w:p>
      <w:pPr>
        <w:widowControl w:val="0"/>
        <w:wordWrap/>
        <w:adjustRightInd/>
        <w:snapToGrid/>
        <w:spacing w:line="620" w:lineRule="exact"/>
        <w:textAlignment w:val="auto"/>
        <w:outlineLvl w:val="9"/>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lang w:val="en-US" w:eastAsia="zh-CN"/>
        </w:rPr>
        <w:t xml:space="preserve">    </w:t>
      </w:r>
      <w:r>
        <w:rPr>
          <w:rFonts w:hint="default" w:ascii="Times New Roman" w:hAnsi="Times New Roman" w:eastAsia="楷体_GB2312" w:cs="Times New Roman"/>
          <w:b/>
          <w:bCs/>
          <w:sz w:val="32"/>
          <w:szCs w:val="32"/>
        </w:rPr>
        <w:t>（五）强化项目预算执行，提高政府治理绩效</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合理控制一般性支出，认真落实中央和我省压减一般性支出以及厉行节约有关要求，除人员补助等据实结算项目以及重点和刚性项目外，其他经常性项目统一压减10%，“三公”经费压减3%。实行零基预算编制模式，改变以前年度经常性项目增量预算编制管理模式，打破单位固化的项目预算基数格局。全面实施预算绩效管理，按预算编制要求设计项目绩效目标，预算执行中开展绩效运行跟踪监控，预算年度结束之后开展绩效自评。加强财政专项资金整合，切实加快财政支出进度，优化财政支出结构，特别是抓好十大为民办实事项目支出进度，确保民生项目及时惠及人民群众。</w:t>
      </w:r>
    </w:p>
    <w:p>
      <w:pPr>
        <w:widowControl w:val="0"/>
        <w:wordWrap/>
        <w:adjustRightInd/>
        <w:snapToGrid/>
        <w:spacing w:line="620" w:lineRule="exact"/>
        <w:textAlignment w:val="auto"/>
        <w:outlineLvl w:val="9"/>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lang w:val="en-US" w:eastAsia="zh-CN"/>
        </w:rPr>
        <w:t xml:space="preserve">    </w:t>
      </w:r>
      <w:r>
        <w:rPr>
          <w:rFonts w:hint="default" w:ascii="Times New Roman" w:hAnsi="Times New Roman" w:eastAsia="楷体_GB2312" w:cs="Times New Roman"/>
          <w:b/>
          <w:bCs/>
          <w:sz w:val="32"/>
          <w:szCs w:val="32"/>
        </w:rPr>
        <w:t>（六）规范融资举债行为，严控政府债务风险</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继续加强政府债务管理和风险防控，不断完善政府债务管理制度和规范我市政府债务举借行为。严格贯彻落实国家有关地方政府债务管理的政策文件，规范政府举债行为，严控新增政府债务，规范运用PPP、政府投资基金等方式，严禁新增隐性债务，确保隐性债务只减不增，坚决防范化解政府债务重大风险。</w:t>
      </w:r>
    </w:p>
    <w:p>
      <w:pPr>
        <w:widowControl w:val="0"/>
        <w:wordWrap/>
        <w:adjustRightInd/>
        <w:snapToGrid/>
        <w:spacing w:line="620" w:lineRule="exac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各位代表，2020年财政改革发展的任务十分繁重艰巨。我们要在市委、市政府的正确领导下，自觉接受市人大的指导和监督，高举习近平新时代中国特色社会主义思想伟大旗帜，不忘初心、牢记使命，开拓创新、真抓实干，圆满完成2020年各项财政预算任务，为三亚在海南全面深化改革开放和中国特色自由贸易港建设中勇当排头兵、打造新标杆而努力奋斗！</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Calibri">
    <w:panose1 w:val="020F0502020204030204"/>
    <w:charset w:val="00"/>
    <w:family w:val="auto"/>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2">
    <w:name w:val="Default Paragraph Font"/>
    <w:semiHidden/>
    <w:uiPriority w:val="0"/>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三亚大戌印刷厂</Company>
  <Pages>1</Pages>
  <Words>0</Words>
  <Characters>0</Characters>
  <Lines>0</Lines>
  <Paragraphs>0</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2020-01-04T02:38:00Z</dcterms:created>
  <dc:creator>陈海娜</dc:creator>
  <cp:lastModifiedBy>王小冬</cp:lastModifiedBy>
  <dcterms:modified xsi:type="dcterms:W3CDTF">2020-01-17T01:52:41Z</dcterms:modified>
  <dc:title>关于2019年三亚市预算执行情况及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