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10" w:afterAutospacing="0" w:line="27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color="auto" w:fill="FFFFFF"/>
        </w:rPr>
        <w:t>财政部 海关总署 税务总局公告2020年第33号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color="auto" w:fill="FFFFFF"/>
        </w:rPr>
        <w:t>为贯彻落实《海南自由贸易港建设总体方案》，经国务院同意，现将海南离岛旅客免税购物政策（以下称离岛免税政策）公告如下：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color="auto" w:fill="FFFFFF"/>
        </w:rPr>
        <w:t>　　一、离岛免税政策是指对乘飞机、火车、轮船离岛（不包括离境）旅客实行限值、限量、限品种免进口税购物，在实施离岛免税政策的免税商店（以下称离岛免税店）内或经批准的网上销售窗口付款，在机场、火车站、港口码头指定区域提货离岛的税收优惠政策。离岛免税政策免税税种为关税、进口环节增值税和消费税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color="auto" w:fill="FFFFFF"/>
        </w:rPr>
        <w:t>　　二、本公告所称旅客，是指年满16周岁，已购买离岛机票、火车票、船票，并持有效身份证件（国内旅客持居民身份证、港澳台旅客持旅行证件、国外旅客持护照），离开海南本岛但不离境的国内外旅客，包括海南省居民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color="auto" w:fill="FFFFFF"/>
        </w:rPr>
        <w:t>　　三、离岛旅客每年每人免税购物额度为10万元人民币，不限次数。免税商品种类及每次购买数量限制，按照本公告附件执行。超出免税限额、限量的部分，照章征收进境物品进口税。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color="auto" w:fill="FFFFFF"/>
        </w:rPr>
        <w:t>　　旅客购物后乘飞机、火车、轮船离岛记为1次免税购物。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color="auto" w:fill="FFFFFF"/>
        </w:rPr>
        <w:t>　　四、本公告所称离岛免税店，是指具有实施离岛免税政策资格并实行特许经营的免税商店，目前包括：海口美兰机场免税店、海口日月广场免税店、琼海博鳌免税店、三亚海棠湾免税店。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color="auto" w:fill="FFFFFF"/>
        </w:rPr>
        <w:t>　　具有免税品经销资格的经营主体可按规定参与海南离岛免税经营。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color="auto" w:fill="FFFFFF"/>
        </w:rPr>
        <w:t>　　五、离岛旅客在国家规定的额度和数量范围内，在离岛免税店内或经批准的网上销售窗口购买免税商品，免税店根据旅客离岛时间运送货物，旅客凭购物凭证在机场、火车站、港口码头指定区域提货，并一次性随身携带离岛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color="auto" w:fill="FFFFFF"/>
        </w:rPr>
        <w:t>　　六、已经购买的离岛免税商品属于消费者个人使用的最终商品，不得进入国内市场再次销售。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color="auto" w:fill="FFFFFF"/>
        </w:rPr>
        <w:t>　　七、对违反本公告规定倒卖、代购、走私免税商品的个人，依法依规纳入信用记录，三年内不得购买离岛免税商品；对于构成走私行为或者违反海关监管规定行为的，由海关依照有关规定予以处理，构成犯罪的，依法追究刑事责任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color="auto" w:fill="FFFFFF"/>
        </w:rPr>
        <w:t>　　对协助违反离岛免税政策、扰乱市场秩序的旅行社、运输企业等，给予行业性综合整治。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color="auto" w:fill="FFFFFF"/>
        </w:rPr>
        <w:t>　　离岛免税店违反相关规定销售免税品，由海关依照有关法律、行政法规给予处理、处罚。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color="auto" w:fill="FFFFFF"/>
        </w:rPr>
        <w:t>　　八、离岛免税政策监管办法由海关总署另行公布。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color="auto" w:fill="FFFFFF"/>
        </w:rPr>
        <w:t>　　离岛免税店销售的免税商品适用的增值税、消费税免税政策，相关管理办法由税务总局商财政部另行制定。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color="auto" w:fill="FFFFFF"/>
        </w:rPr>
        <w:t>　　九、本公告自2020年7月1日起执行。财政部公告2011年第14号、2012年第73号、2015年第8号、2016年第15号、2017年第7号，及财政部、海关总署、税务总局2018年公告第158号、2018年第175号同时废止。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color="auto" w:fill="FFFFFF"/>
        </w:rPr>
        <w:t>　　特此公告。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color="auto" w:fill="FFFFFF"/>
        </w:rPr>
        <w:t>　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color="auto" w:fill="FFFFFF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color="auto" w:fill="FFFFFF"/>
        </w:rPr>
        <w:t>财政部 海关总署 税务总局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color="auto" w:fill="FFFFFF"/>
        </w:rPr>
        <w:t>　　                                2020年6月29日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3">
    <w:name w:val="Default Paragraph Font"/>
    <w:unhideWhenUsed/>
    <w:uiPriority w:val="0"/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styleId="4">
    <w:name w:val="Strong"/>
    <w:basedOn w:val="3"/>
    <w:qFormat/>
    <w:uiPriority w:val="22"/>
    <w:rPr>
      <w:b/>
    </w:r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信息中心收发员</dc:creator>
  <cp:lastModifiedBy>信息中心收发员</cp:lastModifiedBy>
  <dcterms:modified xsi:type="dcterms:W3CDTF">2020-07-01T08:29:19Z</dcterms:modified>
  <dc:title>财政部 海关总署 税务总局公告2020年第33号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