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黎永舒先进事迹</w:t>
      </w:r>
    </w:p>
    <w:p>
      <w:pPr>
        <w:jc w:val="center"/>
        <w:rPr>
          <w:rFonts w:hint="eastAsia" w:ascii="Times New Roman" w:hAnsi="Times New Roman" w:eastAsia="仿宋_GB2312" w:cs="Times New Roman"/>
          <w:sz w:val="44"/>
          <w:szCs w:val="44"/>
          <w:lang w:val="en-US" w:eastAsia="zh-CN"/>
        </w:rPr>
      </w:pPr>
    </w:p>
    <w:p>
      <w:pPr>
        <w:keepNext w:val="0"/>
        <w:keepLines w:val="0"/>
        <w:pageBreakBefore w:val="0"/>
        <w:widowControl w:val="0"/>
        <w:numPr>
          <w:ilvl w:val="0"/>
          <w:numId w:val="0"/>
        </w:numPr>
        <w:kinsoku/>
        <w:wordWrap/>
        <w:topLinePunct w:val="0"/>
        <w:autoSpaceDE/>
        <w:autoSpaceDN/>
        <w:bidi w:val="0"/>
        <w:spacing w:line="7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黎永舒，女，28岁，籍贯海南省三亚市，本科学历。于2015年参加工作，先后在三亚市天涯海角公司担任收入会计、成本会计、预算会计等工作；2019年6月三亚旅游文化投资集团有限公司成立，为筹备集团各项财务工作，经集团领导层层选拔，优中选优，该同志凭借着扎实的财务基础、认真严谨的工作态度获得了领导的认可，最终加入三亚旅文集团资产财务部，现任资金中心负责人。</w:t>
      </w:r>
    </w:p>
    <w:p>
      <w:pPr>
        <w:keepNext w:val="0"/>
        <w:keepLines w:val="0"/>
        <w:pageBreakBefore w:val="0"/>
        <w:widowControl w:val="0"/>
        <w:numPr>
          <w:ilvl w:val="0"/>
          <w:numId w:val="0"/>
        </w:numPr>
        <w:kinsoku/>
        <w:wordWrap/>
        <w:topLinePunct w:val="0"/>
        <w:autoSpaceDE/>
        <w:autoSpaceDN/>
        <w:bidi w:val="0"/>
        <w:spacing w:line="70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黎永舒同志从一名普通的基层会计做起，敬业奉献，工作认真，专业知识扎实，努力钻研业务，工作精益求精，坚持原则，善于理财，遵循会计职业道德，以积极进取的工作态度完成各项工作，树立了良好的财务工作者形象，多次受到领导和同事们的肯定。以下是她近期主要工作成绩：</w:t>
      </w:r>
    </w:p>
    <w:p>
      <w:pPr>
        <w:keepNext w:val="0"/>
        <w:keepLines w:val="0"/>
        <w:pageBreakBefore w:val="0"/>
        <w:widowControl w:val="0"/>
        <w:numPr>
          <w:ilvl w:val="-1"/>
          <w:numId w:val="0"/>
        </w:numPr>
        <w:kinsoku/>
        <w:wordWrap/>
        <w:topLinePunct w:val="0"/>
        <w:autoSpaceDE/>
        <w:autoSpaceDN/>
        <w:bidi w:val="0"/>
        <w:spacing w:line="700" w:lineRule="atLeas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一、放大国有资本功能，发挥国有平台企业融资主体作用，深入研究降低资金成本的融资方式。</w:t>
      </w:r>
    </w:p>
    <w:p>
      <w:pPr>
        <w:keepNext w:val="0"/>
        <w:keepLines w:val="0"/>
        <w:pageBreakBefore w:val="0"/>
        <w:widowControl w:val="0"/>
        <w:numPr>
          <w:ilvl w:val="0"/>
          <w:numId w:val="0"/>
        </w:numPr>
        <w:kinsoku/>
        <w:wordWrap/>
        <w:topLinePunct w:val="0"/>
        <w:autoSpaceDE/>
        <w:autoSpaceDN/>
        <w:bidi w:val="0"/>
        <w:spacing w:line="700" w:lineRule="atLeas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自集团成立以来黎永舒同志完成融资项目约16项，累计取得约43.65亿元授信额度，其中直接融资10亿元、间接融资33.65亿元，为集团持续资金运转提供了强劲的支持。该同志负责各类融资项目结构设计、债券发行工作，维护国内各家银行、非银金融机构业务合作关系，根据集团各项业务的发展选择合适的融资产品。为了规范集团融资管理，该同志参考多家成熟企业的融资管理制度，学习相关的法律法规，再结合集团的实际情况，经过多番修改，最终编制了</w:t>
      </w:r>
      <w:r>
        <w:rPr>
          <w:rFonts w:hint="eastAsia" w:ascii="仿宋_GB2312" w:hAnsi="仿宋_GB2312" w:eastAsia="仿宋_GB2312" w:cs="仿宋_GB2312"/>
          <w:sz w:val="32"/>
          <w:szCs w:val="32"/>
        </w:rPr>
        <w:t>《内部借款管理办法（试行）》《融资管理办法（试行）》《统贷统还管理办法（试行）》</w:t>
      </w:r>
      <w:r>
        <w:rPr>
          <w:rFonts w:hint="eastAsia" w:ascii="仿宋_GB2312" w:hAnsi="仿宋_GB2312" w:eastAsia="仿宋_GB2312" w:cs="仿宋_GB2312"/>
          <w:sz w:val="32"/>
          <w:szCs w:val="32"/>
          <w:lang w:val="en-US" w:eastAsia="zh-CN"/>
        </w:rPr>
        <w:t>三项融资管理制度。这三项制度明确了全集团融资工作的各项流程，规范了集团的融资管理。以下为</w:t>
      </w:r>
      <w:r>
        <w:rPr>
          <w:rFonts w:hint="eastAsia" w:ascii="Times New Roman" w:hAnsi="Times New Roman" w:eastAsia="仿宋_GB2312" w:cs="Times New Roman"/>
          <w:sz w:val="32"/>
          <w:szCs w:val="32"/>
          <w:lang w:val="en-US" w:eastAsia="zh-CN"/>
        </w:rPr>
        <w:t>黎永舒同志在融资工作中的突出成绩：</w:t>
      </w:r>
    </w:p>
    <w:p>
      <w:pPr>
        <w:keepNext w:val="0"/>
        <w:keepLines w:val="0"/>
        <w:pageBreakBefore w:val="0"/>
        <w:widowControl w:val="0"/>
        <w:numPr>
          <w:ilvl w:val="0"/>
          <w:numId w:val="1"/>
        </w:numPr>
        <w:kinsoku/>
        <w:wordWrap/>
        <w:topLinePunct w:val="0"/>
        <w:autoSpaceDE/>
        <w:autoSpaceDN/>
        <w:bidi w:val="0"/>
        <w:spacing w:line="700" w:lineRule="atLeast"/>
        <w:ind w:firstLine="64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解决市属国有企业债务负担较重、成本费用较高的问题，进一步提升市属国有企业资本运作能力，今年3月份，该同志与多家金融机构洽谈，对比多个融资方案，与金融机构反复博弈，最终以综合成本5.45%的固定资产贷款项目置换集团成立前综合成本10.6%的融资租赁贷款项目，为集团节约财务费用约8000万元，降低企业财务费用，减轻企业经营压力。</w:t>
      </w:r>
    </w:p>
    <w:p>
      <w:pPr>
        <w:keepNext w:val="0"/>
        <w:keepLines w:val="0"/>
        <w:pageBreakBefore w:val="0"/>
        <w:widowControl w:val="0"/>
        <w:numPr>
          <w:ilvl w:val="0"/>
          <w:numId w:val="1"/>
        </w:numPr>
        <w:kinsoku/>
        <w:wordWrap/>
        <w:topLinePunct w:val="0"/>
        <w:autoSpaceDE/>
        <w:autoSpaceDN/>
        <w:bidi w:val="0"/>
        <w:spacing w:line="700" w:lineRule="atLeast"/>
        <w:ind w:firstLine="640" w:firstLineChars="0"/>
        <w:textAlignment w:val="auto"/>
        <w:rPr>
          <w:rFonts w:hint="eastAsia" w:ascii="Times New Roman" w:hAnsi="Times New Roman" w:eastAsia="仿宋_GB2312" w:cs="Times New Roman"/>
          <w:sz w:val="32"/>
          <w:szCs w:val="32"/>
          <w:lang w:val="en-US" w:eastAsia="zh-CN"/>
        </w:rPr>
      </w:pPr>
      <w:r>
        <w:rPr>
          <w:rFonts w:hint="eastAsia" w:ascii="仿宋" w:hAnsi="仿宋" w:eastAsia="仿宋" w:cs="仿宋"/>
          <w:kern w:val="2"/>
          <w:sz w:val="32"/>
          <w:szCs w:val="24"/>
          <w:lang w:val="en-US" w:eastAsia="zh-CN" w:bidi="ar-SA"/>
        </w:rPr>
        <w:t>为拓宽市属国有企业的融资渠道，</w:t>
      </w:r>
      <w:r>
        <w:rPr>
          <w:rFonts w:hint="eastAsia" w:ascii="Times New Roman" w:hAnsi="Times New Roman" w:eastAsia="仿宋_GB2312" w:cs="Times New Roman"/>
          <w:sz w:val="32"/>
          <w:szCs w:val="32"/>
          <w:lang w:val="en-US" w:eastAsia="zh-CN"/>
        </w:rPr>
        <w:t>今年3月份启动集团首笔直接融资产品-非公开发行公司债券发行工作，黎永舒同志负责发债各项工作，包括给券商提供各项企业基本材料、填报及分析财务数据、分析企业经营状况、资金用途、企业未来的发展方向，回答交易所对我集团发债业务提出的问题等。10月份集团取得上海证券交易所对本次拟发行债券无异义的函，</w:t>
      </w:r>
      <w:r>
        <w:rPr>
          <w:rFonts w:hint="eastAsia" w:ascii="Times New Roman" w:hAnsi="Times New Roman" w:eastAsia="仿宋_GB2312" w:cs="Times New Roman"/>
          <w:sz w:val="32"/>
          <w:szCs w:val="32"/>
        </w:rPr>
        <w:t>标志着三亚市2019年国资国企改革后，全新组建的市属国有企业作为独立的市场主体在债券市场融资实现零的突破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下一步，</w:t>
      </w:r>
      <w:r>
        <w:rPr>
          <w:rFonts w:hint="eastAsia" w:ascii="Times New Roman" w:hAnsi="Times New Roman" w:eastAsia="仿宋_GB2312" w:cs="Times New Roman"/>
          <w:sz w:val="32"/>
          <w:szCs w:val="32"/>
          <w:lang w:val="en-US" w:eastAsia="zh-CN"/>
        </w:rPr>
        <w:t>该同志</w:t>
      </w:r>
      <w:r>
        <w:rPr>
          <w:rFonts w:hint="eastAsia" w:ascii="Times New Roman" w:hAnsi="Times New Roman" w:eastAsia="仿宋_GB2312" w:cs="Times New Roman"/>
          <w:sz w:val="32"/>
          <w:szCs w:val="32"/>
        </w:rPr>
        <w:t>将继续加大投融资方式创新，最大化利用好</w:t>
      </w:r>
      <w:r>
        <w:rPr>
          <w:rFonts w:hint="eastAsia" w:ascii="Times New Roman" w:hAnsi="Times New Roman" w:eastAsia="仿宋_GB2312" w:cs="Times New Roman"/>
          <w:sz w:val="32"/>
          <w:szCs w:val="32"/>
          <w:lang w:val="en-US" w:eastAsia="zh-CN"/>
        </w:rPr>
        <w:t>集团</w:t>
      </w:r>
      <w:r>
        <w:rPr>
          <w:rFonts w:hint="eastAsia" w:ascii="Times New Roman" w:hAnsi="Times New Roman" w:eastAsia="仿宋_GB2312" w:cs="Times New Roman"/>
          <w:sz w:val="32"/>
          <w:szCs w:val="32"/>
        </w:rPr>
        <w:t>自身资源，</w:t>
      </w:r>
      <w:r>
        <w:rPr>
          <w:rFonts w:hint="eastAsia" w:ascii="Times New Roman" w:hAnsi="Times New Roman" w:eastAsia="仿宋_GB2312" w:cs="Times New Roman"/>
          <w:sz w:val="32"/>
          <w:szCs w:val="32"/>
          <w:lang w:val="en-US" w:eastAsia="zh-CN"/>
        </w:rPr>
        <w:t>启动</w:t>
      </w:r>
      <w:r>
        <w:rPr>
          <w:rFonts w:hint="eastAsia" w:ascii="Times New Roman" w:hAnsi="Times New Roman" w:eastAsia="仿宋_GB2312" w:cs="Times New Roman"/>
          <w:sz w:val="32"/>
          <w:szCs w:val="32"/>
        </w:rPr>
        <w:t>中期票据、资产证券化、债权融资计划等融资</w:t>
      </w:r>
      <w:r>
        <w:rPr>
          <w:rFonts w:hint="eastAsia"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rPr>
        <w:t>，进一步吸引社会资本，推动三亚文旅产业转型升级</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topLinePunct w:val="0"/>
        <w:autoSpaceDE/>
        <w:autoSpaceDN/>
        <w:bidi w:val="0"/>
        <w:spacing w:line="700" w:lineRule="atLeast"/>
        <w:ind w:firstLine="64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减轻企业还贷压力，黎永舒同志充分利用企业自身优势，积极对接市旅文局相关工作人员，及时获取并研究相关贷款贴息政策，根据集团已有的贷款情况，寻找最大力度的贴息政策，指导集团下属子公司相关财务人员申请贷款贴息，最终为全集团争取到394.7万元的贷款贴息，大大减少集团的财务费用。</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700" w:lineRule="atLeas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二、推行集团资金集中管理，最大化利用闲余资金，提高国有企业的资金使用效率。</w:t>
      </w:r>
    </w:p>
    <w:p>
      <w:pPr>
        <w:keepNext w:val="0"/>
        <w:keepLines w:val="0"/>
        <w:pageBreakBefore w:val="0"/>
        <w:widowControl w:val="0"/>
        <w:kinsoku/>
        <w:wordWrap/>
        <w:topLinePunct w:val="0"/>
        <w:autoSpaceDE/>
        <w:autoSpaceDN/>
        <w:bidi w:val="0"/>
        <w:adjustRightInd w:val="0"/>
        <w:snapToGrid w:val="0"/>
        <w:spacing w:line="700" w:lineRule="atLeas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作为资金中心负责人，黎永舒同志结合集团实际情况，推行“资金结算中心”，“现金池”+“收支两条线”方式实现资金集中管理模式。为配合集团资金集中管理工作有序开展，黎永舒同志编制</w:t>
      </w:r>
      <w:r>
        <w:rPr>
          <w:rFonts w:hint="eastAsia" w:ascii="仿宋_GB2312" w:hAnsi="仿宋_GB2312" w:eastAsia="仿宋_GB2312" w:cs="仿宋_GB2312"/>
          <w:sz w:val="32"/>
          <w:szCs w:val="32"/>
        </w:rPr>
        <w:t>《资金集中管理办法（试行）》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用友NCC资金管理模块前期搭建，组织各子公司财务人员学习使用NCC资金管理模块、资金计划填报等各项前期工作，同时还组织各业务部门学习资金集中管理办法，指导各业务部门如何根据实际业务编制部门资金计划，将资金管理的理念灌输到每个业务部门。资金统一管理，集团统一分配资金用途，将闲余资金汇总起来投资，最大化的利用闲余资金，使其达到1+1&gt;2的效果，提高市属国有企业的资金使用效率。</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700" w:lineRule="atLeas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三、开启上市并购工作，打造三亚市属国企第一家上市国企。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根据三亚市国企改革实施方案提出的上市目标，在集团领导的带领下，该同志发挥所学专长，积极与券商和会计师事务所对接，筹划旅游板块并购上市方案；</w:t>
      </w:r>
      <w:r>
        <w:rPr>
          <w:rFonts w:hint="eastAsia" w:ascii="Times New Roman" w:hAnsi="Times New Roman" w:eastAsia="仿宋_GB2312" w:cs="Times New Roman"/>
          <w:kern w:val="0"/>
          <w:sz w:val="32"/>
          <w:szCs w:val="32"/>
        </w:rPr>
        <w:t>积极寻找适合我集团收购</w:t>
      </w:r>
      <w:r>
        <w:rPr>
          <w:rFonts w:hint="eastAsia" w:ascii="Times New Roman" w:hAnsi="Times New Roman" w:eastAsia="仿宋_GB2312" w:cs="Times New Roman"/>
          <w:kern w:val="0"/>
          <w:sz w:val="32"/>
          <w:szCs w:val="32"/>
          <w:lang w:val="en-US" w:eastAsia="zh-CN"/>
        </w:rPr>
        <w:t>的</w:t>
      </w:r>
      <w:r>
        <w:rPr>
          <w:rFonts w:hint="eastAsia" w:ascii="Times New Roman" w:hAnsi="Times New Roman" w:eastAsia="仿宋_GB2312" w:cs="Times New Roman"/>
          <w:kern w:val="0"/>
          <w:sz w:val="32"/>
          <w:szCs w:val="32"/>
        </w:rPr>
        <w:t>目标公司</w:t>
      </w:r>
      <w:r>
        <w:rPr>
          <w:rFonts w:hint="eastAsia" w:ascii="Times New Roman" w:hAnsi="Times New Roman" w:eastAsia="仿宋_GB2312" w:cs="Times New Roman"/>
          <w:sz w:val="32"/>
          <w:szCs w:val="32"/>
          <w:lang w:val="en-US" w:eastAsia="zh-CN"/>
        </w:rPr>
        <w:t>，研读</w:t>
      </w:r>
      <w:r>
        <w:rPr>
          <w:rFonts w:hint="eastAsia" w:ascii="Times New Roman" w:hAnsi="Times New Roman" w:eastAsia="仿宋_GB2312" w:cs="Times New Roman"/>
          <w:kern w:val="0"/>
          <w:sz w:val="32"/>
          <w:szCs w:val="32"/>
        </w:rPr>
        <w:t>目标公司</w:t>
      </w:r>
      <w:r>
        <w:rPr>
          <w:rFonts w:hint="eastAsia" w:ascii="Times New Roman" w:hAnsi="Times New Roman" w:eastAsia="仿宋_GB2312" w:cs="Times New Roman"/>
          <w:sz w:val="32"/>
          <w:szCs w:val="32"/>
          <w:lang w:val="en-US" w:eastAsia="zh-CN"/>
        </w:rPr>
        <w:t>财务信息、重大公开披露信息等，分析</w:t>
      </w:r>
      <w:r>
        <w:rPr>
          <w:rFonts w:hint="eastAsia" w:ascii="Times New Roman" w:hAnsi="Times New Roman" w:eastAsia="仿宋_GB2312" w:cs="Times New Roman"/>
          <w:kern w:val="0"/>
          <w:sz w:val="32"/>
          <w:szCs w:val="32"/>
        </w:rPr>
        <w:t>目标公司</w:t>
      </w:r>
      <w:r>
        <w:rPr>
          <w:rFonts w:hint="eastAsia" w:ascii="Times New Roman" w:hAnsi="Times New Roman" w:eastAsia="仿宋_GB2312" w:cs="Times New Roman"/>
          <w:sz w:val="32"/>
          <w:szCs w:val="32"/>
          <w:lang w:val="en-US" w:eastAsia="zh-CN"/>
        </w:rPr>
        <w:t>的可行性，</w:t>
      </w:r>
      <w:r>
        <w:rPr>
          <w:rFonts w:hint="eastAsia" w:ascii="Times New Roman" w:hAnsi="Times New Roman" w:eastAsia="仿宋_GB2312" w:cs="Times New Roman"/>
          <w:kern w:val="0"/>
          <w:sz w:val="32"/>
          <w:szCs w:val="32"/>
        </w:rPr>
        <w:t>利用集团</w:t>
      </w:r>
      <w:r>
        <w:rPr>
          <w:rFonts w:hint="eastAsia" w:ascii="Times New Roman" w:hAnsi="Times New Roman" w:eastAsia="仿宋_GB2312" w:cs="Times New Roman"/>
          <w:kern w:val="0"/>
          <w:sz w:val="32"/>
          <w:szCs w:val="32"/>
          <w:lang w:val="en-US" w:eastAsia="zh-CN"/>
        </w:rPr>
        <w:t>现有的</w:t>
      </w:r>
      <w:r>
        <w:rPr>
          <w:rFonts w:hint="eastAsia" w:ascii="Times New Roman" w:hAnsi="Times New Roman" w:eastAsia="仿宋_GB2312" w:cs="Times New Roman"/>
          <w:kern w:val="0"/>
          <w:sz w:val="32"/>
          <w:szCs w:val="32"/>
        </w:rPr>
        <w:t>存量资产收购上市公司股份并争取能达</w:t>
      </w:r>
      <w:r>
        <w:rPr>
          <w:rFonts w:hint="eastAsia" w:ascii="Times New Roman" w:hAnsi="Times New Roman" w:eastAsia="仿宋_GB2312" w:cs="Times New Roman"/>
          <w:kern w:val="0"/>
          <w:sz w:val="32"/>
          <w:szCs w:val="32"/>
          <w:lang w:val="en-US" w:eastAsia="zh-CN"/>
        </w:rPr>
        <w:t>到</w:t>
      </w:r>
      <w:r>
        <w:rPr>
          <w:rFonts w:hint="eastAsia" w:ascii="Times New Roman" w:hAnsi="Times New Roman" w:eastAsia="仿宋_GB2312" w:cs="Times New Roman"/>
          <w:kern w:val="0"/>
          <w:sz w:val="32"/>
          <w:szCs w:val="32"/>
        </w:rPr>
        <w:t>对上市公司控股</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sz w:val="32"/>
          <w:szCs w:val="32"/>
          <w:lang w:val="en-US" w:eastAsia="zh-CN"/>
        </w:rPr>
        <w:t>以争取早日实现上市的目标。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四、完善全面预算管理，提高资金的使用效益，促进业绩稳步增长。</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凡事预则立，不预则废”是预算管理的经典名言，通过全面预算工作，对企业未来的经营活动和相应财务结果进行充分、全面的预测和筹划，体现了全面预算管理在公司经营管理中的重要性。我集团为新成立的集团公司，各子公司暂未实行全面预算管理，为加强集团全面预算管理，在全集团内推行全面预算管理的理念，该同志认真学习《企业财务通则》《企业会计准则》《企业实行全面预算管理的指导意见》公司《章程》《财务管理基本制度（试行）》《三亚市市属企业全面预算管理暂行办法》等制度，经过多番修改，最终编制了《全面预算管理办法（试行）》。该同志组织各子公司财务人员学习全面预算管理办法，指导各子公司财务人员开展全面预算工作，同时指导各业务部门编制年度预算报表，自上而下，再自下而上，上下结合，分级编制，逐级汇总，将全面预算管理的理念灌输到每个员工。</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700" w:lineRule="atLeas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五、顺应公司发展步伐，完善财务管理制度，全面构建一体化财务管控体系。</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集团成立初期，为规范集团的各项财务工作，完善集团财务管理，黎永舒同志认真学习国家有关财经法律、法规、政策和制度，根据《企业会计制度》《会计基础工作规范》等的规定，借鉴成熟企业的管理制度，结合集团实际情况，对集团财务体系进行梳理，先后起草和完善了《财务管理基本制度（试行）》《财务支出审批权限管理办法（试行）》《差旅费制度（试行）》《业务招待费管理办法（试行）》《借款和备用金管理办法（试行）》《全面预算管理办法（试行）》6项制度，形成了与集团管理相匹配的基本制度框架，严格管理办公费、差旅费、业务招待费等各项成本费用审批程序，增强了费用支出的计划性、合理性和科学性，为集团公司日常财务管理工作提供了指南。为规范集团内部财务管理，监督和约束全资、控股子公司的财务行为，加强子公司事前、事中、事后、经常性、普遍性的财务监控，确保财务会计信息真实、准确，降低经营管理风险，敦促财务负责人切实履职尽责，维护集团整体利益，根据市国资委《三亚市市属国有企业总会计师工作职责暂行办法（征求意见稿）》、集团《干部选拔任用管理办法（试行）》，结合集团目前各家子公司财务负责人情况及集团未来业务发展需求，出台了《三亚旅文集团子公司财务负责人管理办法（试行）》，为构建一体化财务管控体系打下坚实的基础。</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700" w:lineRule="atLeas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六、创新服务机制，全面推行财务管理信息化建设，提升三亚市国资国企的信息化程度。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为进一步加强市属国有企业的成本管控和运营管理，创新服务机制，以需求为导向，进行产品和服务的升级。在集团领导的带领下，黎永舒同志</w:t>
      </w:r>
      <w:r>
        <w:rPr>
          <w:rFonts w:hint="default" w:ascii="Times New Roman" w:hAnsi="Times New Roman" w:eastAsia="仿宋_GB2312" w:cs="Times New Roman"/>
          <w:sz w:val="32"/>
          <w:szCs w:val="32"/>
          <w:lang w:val="en-US" w:eastAsia="zh-CN"/>
        </w:rPr>
        <w:t>借鉴并总结</w:t>
      </w:r>
      <w:r>
        <w:rPr>
          <w:rFonts w:hint="eastAsia" w:ascii="Times New Roman" w:hAnsi="Times New Roman" w:eastAsia="仿宋_GB2312" w:cs="Times New Roman"/>
          <w:sz w:val="32"/>
          <w:szCs w:val="32"/>
          <w:lang w:val="en-US" w:eastAsia="zh-CN"/>
        </w:rPr>
        <w:t>成熟企业</w:t>
      </w:r>
      <w:r>
        <w:rPr>
          <w:rFonts w:hint="default" w:ascii="Times New Roman" w:hAnsi="Times New Roman" w:eastAsia="仿宋_GB2312" w:cs="Times New Roman"/>
          <w:sz w:val="32"/>
          <w:szCs w:val="32"/>
          <w:lang w:val="en-US" w:eastAsia="zh-CN"/>
        </w:rPr>
        <w:t>的实践经验和教训的基础上，组织</w:t>
      </w:r>
      <w:r>
        <w:rPr>
          <w:rFonts w:hint="eastAsia" w:ascii="Times New Roman" w:hAnsi="Times New Roman" w:eastAsia="仿宋_GB2312" w:cs="Times New Roman"/>
          <w:sz w:val="32"/>
          <w:szCs w:val="32"/>
          <w:lang w:val="en-US" w:eastAsia="zh-CN"/>
        </w:rPr>
        <w:t>搭建用友</w:t>
      </w:r>
      <w:r>
        <w:rPr>
          <w:rFonts w:hint="default" w:ascii="Times New Roman" w:hAnsi="Times New Roman" w:eastAsia="仿宋_GB2312" w:cs="Times New Roman"/>
          <w:sz w:val="32"/>
          <w:szCs w:val="32"/>
          <w:lang w:val="en-US" w:eastAsia="zh-CN"/>
        </w:rPr>
        <w:t>ERP管理系统的部署工作，建立集合会计核算、报表分析、资金管理、全面预算、人力资源、资产管理等功能并与OA办公系统相互贯通的现代企业信息管理系统。</w:t>
      </w:r>
      <w:r>
        <w:rPr>
          <w:rFonts w:hint="eastAsia" w:ascii="Times New Roman" w:hAnsi="Times New Roman" w:eastAsia="仿宋_GB2312" w:cs="Times New Roman"/>
          <w:sz w:val="32"/>
          <w:szCs w:val="32"/>
          <w:lang w:val="en-US" w:eastAsia="zh-CN"/>
        </w:rPr>
        <w:t>该同志参与用友NCC财务系统前期搭建工作，包括全集团科目的设置、财务报表的设置、各类表单的设置等，组织各子公司财务人员学习用友NCC财务软件</w:t>
      </w:r>
      <w:bookmarkStart w:id="0" w:name="_GoBack"/>
      <w:bookmarkEnd w:id="0"/>
      <w:r>
        <w:rPr>
          <w:rFonts w:hint="eastAsia" w:ascii="Times New Roman" w:hAnsi="Times New Roman" w:eastAsia="仿宋_GB2312" w:cs="Times New Roman"/>
          <w:sz w:val="32"/>
          <w:szCs w:val="32"/>
          <w:lang w:val="en-US" w:eastAsia="zh-CN"/>
        </w:rPr>
        <w:t>。财务管理信息化建设，加快推进国资国企财务信息系统的平台化、专业化和规模化，实现业务流程再造，进一步推动构建国资监管大格局。</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700" w:lineRule="atLeas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七、理清资产，全面开展清产核资工作，摸清市属国有企业家底。</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2019年6月，市委市政府启动三亚国资国企的改革，将原有天涯海角公司、大小洞天公司、鹿回头公司等9家国有企业进行整合，成立了三亚旅文集团。</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真实反映集团各子公司资产及财务状况，在集团领导的支持下，黎永舒同志</w:t>
      </w:r>
      <w:r>
        <w:rPr>
          <w:rFonts w:hint="eastAsia" w:ascii="Times New Roman" w:hAnsi="Times New Roman" w:eastAsia="仿宋_GB2312" w:cs="Times New Roman"/>
          <w:sz w:val="32"/>
          <w:szCs w:val="32"/>
        </w:rPr>
        <w:t>组织</w:t>
      </w:r>
      <w:r>
        <w:rPr>
          <w:rFonts w:hint="eastAsia" w:ascii="Times New Roman" w:hAnsi="Times New Roman" w:eastAsia="仿宋_GB2312" w:cs="Times New Roman"/>
          <w:sz w:val="32"/>
          <w:szCs w:val="32"/>
          <w:lang w:val="en-US" w:eastAsia="zh-CN"/>
        </w:rPr>
        <w:t>集团内各子公司</w:t>
      </w:r>
      <w:r>
        <w:rPr>
          <w:rFonts w:hint="eastAsia" w:ascii="Times New Roman" w:hAnsi="Times New Roman" w:eastAsia="仿宋_GB2312" w:cs="Times New Roman"/>
          <w:sz w:val="32"/>
          <w:szCs w:val="32"/>
        </w:rPr>
        <w:t>开展清产核资工作</w:t>
      </w:r>
      <w:r>
        <w:rPr>
          <w:rFonts w:hint="eastAsia" w:ascii="Times New Roman" w:hAnsi="Times New Roman" w:eastAsia="仿宋_GB2312" w:cs="Times New Roman"/>
          <w:sz w:val="32"/>
          <w:szCs w:val="32"/>
          <w:lang w:val="en-US" w:eastAsia="zh-CN"/>
        </w:rPr>
        <w:t>。该同志首先就本次清产核资工作向市国资委提出申请并得到市国资委同意；接着制定工作实施方案 ，聘请社会中介机构对清产核资工作进行专项财务审计，组织账务清理、资产清查；最后将清产核资工作报告及社会中介机构专项审计报告上报是国资委。通过本次清产核资工作，摸清各子公司家底，挖掘企业内部资金潜力，总结和改进财务管理，正确预计企业的资金需用量，合理地组织财务活动。</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综上，黎永舒同志凭着朴实的工作作风，扎实的专业知识，执着的敬业精神和科学的工作方法，在平凡的工作岗位上取得了显著成绩，将财会人员“爱岗敬业、乐于奉献”的职业道德在各项财务工作中得到充分展现。</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三亚旅游文化投资集团有限公司</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700" w:lineRule="atLeast"/>
        <w:ind w:leftChars="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2020年10月28日</w:t>
      </w:r>
    </w:p>
    <w:p>
      <w:pPr>
        <w:numPr>
          <w:ilvl w:val="0"/>
          <w:numId w:val="0"/>
        </w:numPr>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5851525</wp:posOffset>
              </wp:positionH>
              <wp:positionV relativeFrom="page">
                <wp:posOffset>500380</wp:posOffset>
              </wp:positionV>
              <wp:extent cx="981710" cy="231775"/>
              <wp:effectExtent l="0" t="0" r="0" b="0"/>
              <wp:wrapNone/>
              <wp:docPr id="1" name="Shape 1"/>
              <wp:cNvGraphicFramePr/>
              <a:graphic xmlns:a="http://schemas.openxmlformats.org/drawingml/2006/main">
                <a:graphicData uri="http://schemas.microsoft.com/office/word/2010/wordprocessingShape">
                  <wps:wsp>
                    <wps:cNvSpPr txBox="1"/>
                    <wps:spPr>
                      <a:xfrm>
                        <a:off x="0" y="0"/>
                        <a:ext cx="981710" cy="23177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rPr>
                              <w:sz w:val="38"/>
                              <w:szCs w:val="38"/>
                            </w:rPr>
                          </w:pPr>
                        </w:p>
                      </w:txbxContent>
                    </wps:txbx>
                    <wps:bodyPr wrap="none" lIns="0" tIns="0" rIns="0" bIns="0">
                      <a:spAutoFit/>
                    </wps:bodyPr>
                  </wps:wsp>
                </a:graphicData>
              </a:graphic>
            </wp:anchor>
          </w:drawing>
        </mc:Choice>
        <mc:Fallback>
          <w:pict>
            <v:shape id="Shape 1" o:spid="_x0000_s1026" o:spt="202" type="#_x0000_t202" style="position:absolute;left:0pt;margin-left:460.75pt;margin-top:39.4pt;height:18.25pt;width:77.3pt;mso-position-horizontal-relative:page;mso-position-vertical-relative:page;mso-wrap-style:none;z-index:-440400896;mso-width-relative:page;mso-height-relative:page;" filled="f" stroked="f" coordsize="21600,21600" o:gfxdata="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d4dJdcAAAAL&#10;AQAADwAAAAAAAAABACAAAAAiAAAAZHJzL2Rvd25yZXYueG1sUEsBAhQAFAAAAAgAh07iQEQ6zvur&#10;AQAAbwMAAA4AAAAAAAAAAQAgAAAAJgEAAGRycy9lMm9Eb2MueG1sUEsFBgAAAAAGAAYAWQEAAEMF&#10;AAAAAA==&#10;">
              <v:fill on="f"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line="240" w:lineRule="auto"/>
                      <w:ind w:left="0" w:right="0" w:firstLine="0"/>
                      <w:jc w:val="left"/>
                      <w:rPr>
                        <w:sz w:val="38"/>
                        <w:szCs w:val="38"/>
                      </w:rPr>
                    </w:pPr>
                  </w:p>
                </w:txbxContent>
              </v:textbox>
            </v:shape>
          </w:pict>
        </mc:Fallback>
      </mc:AlternateContent>
    </w:r>
    <w:r>
      <mc:AlternateContent>
        <mc:Choice Requires="wps">
          <w:drawing>
            <wp:anchor distT="0" distB="0" distL="114300" distR="114300" simplePos="0" relativeHeight="1024" behindDoc="1" locked="0" layoutInCell="1" allowOverlap="1">
              <wp:simplePos x="0" y="0"/>
              <wp:positionH relativeFrom="page">
                <wp:posOffset>2552065</wp:posOffset>
              </wp:positionH>
              <wp:positionV relativeFrom="page">
                <wp:posOffset>794385</wp:posOffset>
              </wp:positionV>
              <wp:extent cx="4288790" cy="0"/>
              <wp:effectExtent l="0" t="0" r="0" b="0"/>
              <wp:wrapNone/>
              <wp:docPr id="3" name="Shape 3"/>
              <wp:cNvGraphicFramePr/>
              <a:graphic xmlns:a="http://schemas.openxmlformats.org/drawingml/2006/main">
                <a:graphicData uri="http://schemas.microsoft.com/office/word/2010/wordprocessingShape">
                  <wps:wsp>
                    <wps:cNvCnPr/>
                    <wps:spPr>
                      <a:xfrm>
                        <a:off x="0" y="0"/>
                        <a:ext cx="4288790" cy="0"/>
                      </a:xfrm>
                      <a:prstGeom prst="straightConnector1">
                        <a:avLst/>
                      </a:prstGeom>
                      <a:ln w="12700">
                        <a:solidFill>
                          <a:srgbClr val="FFFFFF"/>
                        </a:solidFill>
                      </a:ln>
                    </wps:spPr>
                    <wps:bodyPr/>
                  </wps:wsp>
                </a:graphicData>
              </a:graphic>
            </wp:anchor>
          </w:drawing>
        </mc:Choice>
        <mc:Fallback>
          <w:pict>
            <v:shape id="Shape 3" o:spid="_x0000_s1026" o:spt="32" type="#_x0000_t32" style="position:absolute;left:0pt;margin-left:200.95pt;margin-top:62.55pt;height:0pt;width:337.7pt;mso-position-horizontal-relative:page;mso-position-vertical-relative:page;z-index:-503315456;mso-width-relative:page;mso-height-relative:page;" filled="f" stroked="t" coordsize="21600,21600" o:gfxdata="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5gv+tcAAAAMAQAADwAA&#10;AAAAAAABACAAAAAiAAAAZHJzL2Rvd25yZXYueG1sUEsBAhQAFAAAAAgAh07iQKiIQoylAQAAWgMA&#10;AA4AAAAAAAAAAQAgAAAAJgEAAGRycy9lMm9Eb2MueG1sUEsFBgAAAAAGAAYAWQEAAD0FA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AFDDD"/>
    <w:multiLevelType w:val="singleLevel"/>
    <w:tmpl w:val="E03AFDDD"/>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82E95"/>
    <w:rsid w:val="06401025"/>
    <w:rsid w:val="06541573"/>
    <w:rsid w:val="072D51C1"/>
    <w:rsid w:val="08504E08"/>
    <w:rsid w:val="08BE5267"/>
    <w:rsid w:val="0D2124A9"/>
    <w:rsid w:val="0F1E5FE1"/>
    <w:rsid w:val="0F2E5943"/>
    <w:rsid w:val="12646D17"/>
    <w:rsid w:val="18DD6E0D"/>
    <w:rsid w:val="1C013794"/>
    <w:rsid w:val="1DDD336F"/>
    <w:rsid w:val="1EB07336"/>
    <w:rsid w:val="20082248"/>
    <w:rsid w:val="218E4437"/>
    <w:rsid w:val="21CD352B"/>
    <w:rsid w:val="260307A2"/>
    <w:rsid w:val="26A854A1"/>
    <w:rsid w:val="27136053"/>
    <w:rsid w:val="28387709"/>
    <w:rsid w:val="28D0246E"/>
    <w:rsid w:val="2C3C5EF0"/>
    <w:rsid w:val="2C810875"/>
    <w:rsid w:val="2FF02369"/>
    <w:rsid w:val="33415C2E"/>
    <w:rsid w:val="339218B9"/>
    <w:rsid w:val="33D1132F"/>
    <w:rsid w:val="38EB7397"/>
    <w:rsid w:val="3A8A7063"/>
    <w:rsid w:val="3B3D738A"/>
    <w:rsid w:val="3B9C160C"/>
    <w:rsid w:val="3C5A45B0"/>
    <w:rsid w:val="3CB34D5D"/>
    <w:rsid w:val="412A0176"/>
    <w:rsid w:val="44744773"/>
    <w:rsid w:val="4C0620FD"/>
    <w:rsid w:val="4D67774F"/>
    <w:rsid w:val="4E866A39"/>
    <w:rsid w:val="4F3C3455"/>
    <w:rsid w:val="514317A6"/>
    <w:rsid w:val="53560ECB"/>
    <w:rsid w:val="53B93225"/>
    <w:rsid w:val="5ADD1817"/>
    <w:rsid w:val="5DC6618A"/>
    <w:rsid w:val="5EBE4F03"/>
    <w:rsid w:val="63C77B30"/>
    <w:rsid w:val="67B73975"/>
    <w:rsid w:val="67F95410"/>
    <w:rsid w:val="68387518"/>
    <w:rsid w:val="686638E9"/>
    <w:rsid w:val="68ED7967"/>
    <w:rsid w:val="74146FC0"/>
    <w:rsid w:val="78382E95"/>
    <w:rsid w:val="79DC561C"/>
    <w:rsid w:val="7A1623B4"/>
    <w:rsid w:val="7C955EA8"/>
    <w:rsid w:val="7D44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389" w:lineRule="auto"/>
      <w:ind w:firstLine="400"/>
    </w:pPr>
    <w:rPr>
      <w:rFonts w:ascii="宋体" w:hAnsi="宋体" w:eastAsia="宋体" w:cs="宋体"/>
      <w:sz w:val="20"/>
      <w:szCs w:val="20"/>
      <w:u w:val="none"/>
      <w:shd w:val="clear" w:color="auto" w:fill="auto"/>
      <w:lang w:val="zh-TW" w:eastAsia="zh-TW" w:bidi="zh-TW"/>
    </w:rPr>
  </w:style>
  <w:style w:type="paragraph" w:customStyle="1" w:styleId="5">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2019-12-29T07:42:00Z</dcterms:created>
  <dc:creator>L @Ys ＆恩</dc:creator>
  <cp:lastModifiedBy>L @Ys ＆恩</cp:lastModifiedBy>
  <dcterms:modified xsi:type="dcterms:W3CDTF">2020-11-03T06:41:49Z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